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146" w:rsidRPr="00102887" w:rsidRDefault="00C31146" w:rsidP="00C31146">
      <w:bookmarkStart w:id="2" w:name="_GoBack"/>
      <w:bookmarkEnd w:id="2"/>
      <w:r w:rsidRPr="00102887">
        <w:t xml:space="preserve">This section discusses regional greenhouse gas (GHG) emissions and climate change impacts that could result from implementation of the proposed project. This section provides a background discussion of greenhouse gases and climate change linkages and effects of global climate change. This section is organized with an existing setting, regulatory setting, approach/methodology, and impact analysis. </w:t>
      </w:r>
    </w:p>
    <w:p w:rsidR="00C31146" w:rsidRPr="00102887" w:rsidRDefault="00C31146" w:rsidP="00C31146">
      <w:r w:rsidRPr="00102887">
        <w:t xml:space="preserve">The analysis and discussion of the GHG and climate change impacts in this section focuses on the proposed project’s consistency with local, regional, and statewide climate change planning efforts and discusses the context of these planning efforts as they relate to the proposed project. </w:t>
      </w:r>
    </w:p>
    <w:p w:rsidR="00C31146" w:rsidRPr="00102887" w:rsidRDefault="00C31146" w:rsidP="00C31146">
      <w:r w:rsidRPr="00102887">
        <w:t xml:space="preserve">As described in greater detail below, emissions of greenhouse gases (GHGs) have the potential to adversely affect the environment in a cumulative context.  The emissions from a single project will not cause global climate change, however, GHG emissions from multiple projects throughout the world could result in a cumulative impact with respect to global climate change.  Therefore, the analysis of GHGs and climate change is presented in terms of the proposed project’s contribution to cumulative impacts related to GHGs and climate change.  </w:t>
      </w:r>
    </w:p>
    <w:p w:rsidR="00C31146" w:rsidRPr="00102887" w:rsidRDefault="00C31146" w:rsidP="00C31146">
      <w:r w:rsidRPr="00102887">
        <w:t xml:space="preserve">Cumulative impacts are the collective impacts of one or more past, present, and future projects that, when combined, result in adverse changes to the environment. In determining the significance of a proposed project’s contribution to anticipated adverse future conditions, a lead agency should generally undertake a two‐step analysis. The first question is whether the </w:t>
      </w:r>
      <w:r w:rsidRPr="00102887">
        <w:rPr>
          <w:i/>
          <w:iCs/>
        </w:rPr>
        <w:t xml:space="preserve">combined </w:t>
      </w:r>
      <w:r w:rsidRPr="00102887">
        <w:t xml:space="preserve">effects from </w:t>
      </w:r>
      <w:r w:rsidRPr="00102887">
        <w:rPr>
          <w:i/>
          <w:iCs/>
        </w:rPr>
        <w:t xml:space="preserve">both </w:t>
      </w:r>
      <w:r w:rsidRPr="00102887">
        <w:t xml:space="preserve">the proposed project </w:t>
      </w:r>
      <w:r w:rsidRPr="00102887">
        <w:rPr>
          <w:i/>
          <w:iCs/>
        </w:rPr>
        <w:t xml:space="preserve">and </w:t>
      </w:r>
      <w:r w:rsidRPr="00102887">
        <w:t xml:space="preserve">other projects would be cumulatively significant. If the agency answers this inquiry in the affirmative, the second question is whether “the proposed project’s </w:t>
      </w:r>
      <w:r w:rsidRPr="00102887">
        <w:rPr>
          <w:i/>
          <w:iCs/>
        </w:rPr>
        <w:t xml:space="preserve">incremental </w:t>
      </w:r>
      <w:r w:rsidRPr="00102887">
        <w:t>effects are cumulatively considerable” and thus significant in and of themselves. The cumulative project list for this issue (climate change) comprises anthropogenic (i.e., human-made) GHG emissions sources across the globe and no project alone would reasonably be expected to contribute to a noticeable incremental change to the global climate. However, legislation and executive orders on the subject of climate change in California have established a statewide context and process for developing an enforceable statewide cap on GHG emissions. Given the nature of environmental consequences from GHGs and global climate change, CEQA requires that lead agencies consider evaluating the cumulative impacts of GHGs.  Small contributions to this cumulative impact (from which significant effects are occurring and are expected to worsen over time) may be potentially considerable and, therefore, significant.</w:t>
      </w:r>
    </w:p>
    <w:p w:rsidR="00C31146" w:rsidRPr="00102887" w:rsidRDefault="00C31146" w:rsidP="00C31146">
      <w:pPr>
        <w:pStyle w:val="Heading2"/>
      </w:pPr>
      <w:r w:rsidRPr="00102887">
        <w:t>3.6.1 Environmental Setting</w:t>
      </w:r>
    </w:p>
    <w:p w:rsidR="00C31146" w:rsidRPr="00102887" w:rsidRDefault="00C31146" w:rsidP="00C31146">
      <w:pPr>
        <w:pStyle w:val="Heading3"/>
      </w:pPr>
      <w:r w:rsidRPr="00102887">
        <w:t>Greenhouse Gases and Climate Change Linkages</w:t>
      </w:r>
    </w:p>
    <w:p w:rsidR="00C31146" w:rsidRPr="00102887" w:rsidRDefault="00C31146" w:rsidP="00C31146">
      <w:pPr>
        <w:autoSpaceDE w:val="0"/>
        <w:autoSpaceDN w:val="0"/>
        <w:adjustRightInd w:val="0"/>
      </w:pPr>
      <w:r w:rsidRPr="00102887">
        <w:t xml:space="preserve">Various gases in the Earth’s atmosphere, classified as atmospheric greenhouse gases (GHGs), play a critical role in determining the Earth’s surface temperature. Solar radiation enters Earth’s atmosphere from space, and a portion of the radiation is absorbed by the Earth’s surface. The Earth emits this radiation back toward space, but the properties of the radiation change from high-frequency solar radiation to lower-frequency infrared radiation. </w:t>
      </w:r>
    </w:p>
    <w:p w:rsidR="00C31146" w:rsidRPr="00102887" w:rsidRDefault="00C31146" w:rsidP="00C31146">
      <w:pPr>
        <w:autoSpaceDE w:val="0"/>
        <w:autoSpaceDN w:val="0"/>
        <w:adjustRightInd w:val="0"/>
      </w:pPr>
      <w:r w:rsidRPr="00102887">
        <w:lastRenderedPageBreak/>
        <w:t>Naturally occurring greenhouse gases include water vapor (H</w:t>
      </w:r>
      <w:r w:rsidRPr="00102887">
        <w:rPr>
          <w:szCs w:val="20"/>
          <w:vertAlign w:val="subscript"/>
        </w:rPr>
        <w:t>2</w:t>
      </w:r>
      <w:r w:rsidRPr="00102887">
        <w:t>O), carbon dioxide (CO</w:t>
      </w:r>
      <w:r w:rsidRPr="00102887">
        <w:rPr>
          <w:szCs w:val="20"/>
          <w:vertAlign w:val="subscript"/>
        </w:rPr>
        <w:t>2</w:t>
      </w:r>
      <w:r w:rsidRPr="00102887">
        <w:t>), methane (CH</w:t>
      </w:r>
      <w:r w:rsidRPr="00102887">
        <w:rPr>
          <w:szCs w:val="20"/>
          <w:vertAlign w:val="subscript"/>
        </w:rPr>
        <w:t>4</w:t>
      </w:r>
      <w:r w:rsidRPr="00102887">
        <w:t>), nitrous oxide (N</w:t>
      </w:r>
      <w:r w:rsidRPr="00102887">
        <w:rPr>
          <w:szCs w:val="20"/>
          <w:vertAlign w:val="subscript"/>
        </w:rPr>
        <w:t>2</w:t>
      </w:r>
      <w:r w:rsidRPr="00102887">
        <w:t>O), and ozone (O</w:t>
      </w:r>
      <w:r w:rsidRPr="00102887">
        <w:rPr>
          <w:szCs w:val="20"/>
          <w:vertAlign w:val="subscript"/>
        </w:rPr>
        <w:t>3</w:t>
      </w:r>
      <w:r w:rsidRPr="00102887">
        <w:t>).  Several classes of halogenated substances that contain fluorine, chlorine, or bromine are also greenhouse gases, but they are, for the most part, solely a product of industrial activities.  Although the direct greenhouse gases CO</w:t>
      </w:r>
      <w:r w:rsidRPr="00102887">
        <w:rPr>
          <w:szCs w:val="20"/>
          <w:vertAlign w:val="subscript"/>
        </w:rPr>
        <w:t>2</w:t>
      </w:r>
      <w:r w:rsidRPr="00102887">
        <w:t>, CH</w:t>
      </w:r>
      <w:r w:rsidRPr="00102887">
        <w:rPr>
          <w:szCs w:val="20"/>
          <w:vertAlign w:val="subscript"/>
        </w:rPr>
        <w:t>4</w:t>
      </w:r>
      <w:r w:rsidRPr="00102887">
        <w:t>, and N</w:t>
      </w:r>
      <w:r w:rsidRPr="00102887">
        <w:rPr>
          <w:szCs w:val="20"/>
          <w:vertAlign w:val="subscript"/>
        </w:rPr>
        <w:t>2</w:t>
      </w:r>
      <w:r w:rsidRPr="00102887">
        <w:t>O occur naturally in the atmosphere, human activities have changed their atmospheric concentrations.  From the pre-industrial era (i.e., ending about 1750) to 2005, concentrations of these three greenhouse gases have increased globally by 36, 148, and 18 percent, respectively (IPCC 2007)</w:t>
      </w:r>
      <w:r w:rsidRPr="00102887">
        <w:rPr>
          <w:rStyle w:val="FootnoteReference"/>
        </w:rPr>
        <w:footnoteReference w:id="2"/>
      </w:r>
      <w:r w:rsidRPr="00102887">
        <w:t>.</w:t>
      </w:r>
    </w:p>
    <w:p w:rsidR="00C31146" w:rsidRPr="00102887" w:rsidRDefault="00C31146" w:rsidP="00C31146">
      <w:pPr>
        <w:autoSpaceDE w:val="0"/>
        <w:autoSpaceDN w:val="0"/>
        <w:adjustRightInd w:val="0"/>
      </w:pPr>
      <w:r w:rsidRPr="00102887">
        <w:t>Greenhouse gases, which are transparent to solar radiation, are effective in absorbing infrared radiation. As a result, this radiation that otherwise would have escaped back into space is now retained, resulting in a warming of the atmosphere. This phenomenon is known as the greenhouse effect. Among the prominent GHGs contributing to the greenhouse effect are carbon dioxide (CO</w:t>
      </w:r>
      <w:r w:rsidRPr="00102887">
        <w:rPr>
          <w:szCs w:val="20"/>
          <w:vertAlign w:val="subscript"/>
        </w:rPr>
        <w:t>2</w:t>
      </w:r>
      <w:r w:rsidRPr="00102887">
        <w:t>), methane (CH</w:t>
      </w:r>
      <w:r w:rsidRPr="00102887">
        <w:rPr>
          <w:szCs w:val="16"/>
          <w:vertAlign w:val="subscript"/>
        </w:rPr>
        <w:t>4</w:t>
      </w:r>
      <w:r w:rsidRPr="00102887">
        <w:t>), ozone (O</w:t>
      </w:r>
      <w:r w:rsidRPr="00102887">
        <w:rPr>
          <w:szCs w:val="16"/>
          <w:vertAlign w:val="subscript"/>
        </w:rPr>
        <w:t>3</w:t>
      </w:r>
      <w:r w:rsidRPr="00102887">
        <w:t>), water vapor, nitrous oxide (N</w:t>
      </w:r>
      <w:r w:rsidRPr="00102887">
        <w:rPr>
          <w:szCs w:val="16"/>
          <w:vertAlign w:val="subscript"/>
        </w:rPr>
        <w:t>2</w:t>
      </w:r>
      <w:r w:rsidRPr="00102887">
        <w:t>O), and chlorofluorocarbons (CFCs).</w:t>
      </w:r>
    </w:p>
    <w:p w:rsidR="00C31146" w:rsidRPr="00102887" w:rsidRDefault="00C31146" w:rsidP="00C31146">
      <w:pPr>
        <w:autoSpaceDE w:val="0"/>
        <w:autoSpaceDN w:val="0"/>
        <w:adjustRightInd w:val="0"/>
      </w:pPr>
      <w:r w:rsidRPr="00102887">
        <w:t>Emissions of GHGs contributing to global climate change are attributable in large part to human activities associated with the industrial/manufacturing, utility, transportation, residential, commercial, and agricultural sectors (California Air Resources Board, 2012)</w:t>
      </w:r>
      <w:r w:rsidRPr="00102887">
        <w:rPr>
          <w:rStyle w:val="FootnoteReference"/>
        </w:rPr>
        <w:footnoteReference w:id="3"/>
      </w:r>
      <w:r w:rsidRPr="00102887">
        <w:t xml:space="preserve">. In California, the transportation sector is the largest emitter of GHGs, followed by electricity generation (California Air Resources Board, 2012). </w:t>
      </w:r>
    </w:p>
    <w:p w:rsidR="00C31146" w:rsidRPr="00102887" w:rsidRDefault="00C31146" w:rsidP="00C31146">
      <w:pPr>
        <w:autoSpaceDE w:val="0"/>
        <w:autoSpaceDN w:val="0"/>
        <w:adjustRightInd w:val="0"/>
      </w:pPr>
      <w:r w:rsidRPr="00102887">
        <w:t>As the name implies, global climate change is a global problem. GHGs are global pollutants, unlike criteria air pollutants and toxic air contaminants, which are pollutants of regional and local concern, respectively. California produced 492 million gross metric tons of carbon dioxide equivalents (</w:t>
      </w:r>
      <w:r w:rsidRPr="00102887">
        <w:rPr>
          <w:rFonts w:cs="Arial"/>
          <w:color w:val="000000"/>
          <w:sz w:val="23"/>
          <w:szCs w:val="23"/>
        </w:rPr>
        <w:t>MMTCO</w:t>
      </w:r>
      <w:r w:rsidRPr="00102887">
        <w:rPr>
          <w:rFonts w:cs="Arial"/>
          <w:color w:val="000000"/>
          <w:sz w:val="16"/>
          <w:szCs w:val="16"/>
        </w:rPr>
        <w:t>2</w:t>
      </w:r>
      <w:r w:rsidRPr="00102887">
        <w:rPr>
          <w:rFonts w:cs="Arial"/>
          <w:color w:val="000000"/>
          <w:sz w:val="23"/>
          <w:szCs w:val="23"/>
        </w:rPr>
        <w:t>e</w:t>
      </w:r>
      <w:r w:rsidRPr="00102887">
        <w:t>) in 2004 (California Energy Commission 2006a)</w:t>
      </w:r>
      <w:r w:rsidRPr="00102887">
        <w:rPr>
          <w:rStyle w:val="FootnoteReference"/>
        </w:rPr>
        <w:t xml:space="preserve"> </w:t>
      </w:r>
      <w:r w:rsidRPr="00102887">
        <w:rPr>
          <w:rStyle w:val="FootnoteReference"/>
        </w:rPr>
        <w:footnoteReference w:id="4"/>
      </w:r>
      <w:r w:rsidRPr="00102887">
        <w:t xml:space="preserve">. By 2020, California is projected to produce </w:t>
      </w:r>
      <w:r w:rsidRPr="00102887">
        <w:rPr>
          <w:rFonts w:cs="Arial"/>
          <w:color w:val="000000"/>
          <w:sz w:val="23"/>
          <w:szCs w:val="23"/>
        </w:rPr>
        <w:t>507 MMTCO</w:t>
      </w:r>
      <w:r w:rsidRPr="00102887">
        <w:rPr>
          <w:rFonts w:cs="Arial"/>
          <w:color w:val="000000"/>
          <w:sz w:val="16"/>
          <w:szCs w:val="16"/>
        </w:rPr>
        <w:t>2</w:t>
      </w:r>
      <w:r w:rsidRPr="00102887">
        <w:rPr>
          <w:rFonts w:cs="Arial"/>
          <w:color w:val="000000"/>
          <w:sz w:val="23"/>
          <w:szCs w:val="23"/>
        </w:rPr>
        <w:t>e per year.</w:t>
      </w:r>
      <w:r w:rsidRPr="00102887">
        <w:rPr>
          <w:rStyle w:val="FootnoteReference"/>
          <w:rFonts w:cs="Arial"/>
          <w:color w:val="000000"/>
          <w:sz w:val="23"/>
          <w:szCs w:val="23"/>
        </w:rPr>
        <w:footnoteReference w:id="5"/>
      </w:r>
    </w:p>
    <w:p w:rsidR="00C31146" w:rsidRPr="00CD2DB5" w:rsidRDefault="00C31146" w:rsidP="00C31146">
      <w:pPr>
        <w:autoSpaceDE w:val="0"/>
        <w:autoSpaceDN w:val="0"/>
        <w:adjustRightInd w:val="0"/>
      </w:pPr>
      <w:r w:rsidRPr="00102887">
        <w:t xml:space="preserve">Carbon dioxide equivalents are a measurement used to account for the fact that different GHGs have different potential to retain infrared radiation in the atmosphere and contribute to the greenhouse effect. This potential, known as the global warming potential of a GHG, is also </w:t>
      </w:r>
      <w:r w:rsidRPr="00102887">
        <w:lastRenderedPageBreak/>
        <w:t xml:space="preserve">dependent on the lifetime, or persistence, of the gas molecule in the atmosphere. Expressing GHG emissions in carbon dioxide equivalents takes the contribution of all GHG emissions to the </w:t>
      </w:r>
      <w:r w:rsidRPr="00CD2DB5">
        <w:t>greenhouse effect and converts them to a single unit equivalent to the effect that would occur if only CO</w:t>
      </w:r>
      <w:r w:rsidRPr="00CD2DB5">
        <w:rPr>
          <w:szCs w:val="16"/>
          <w:vertAlign w:val="subscript"/>
        </w:rPr>
        <w:t xml:space="preserve">2 </w:t>
      </w:r>
      <w:r w:rsidRPr="00CD2DB5">
        <w:t xml:space="preserve">were being emitted. </w:t>
      </w:r>
    </w:p>
    <w:p w:rsidR="00C31146" w:rsidRPr="00CD2DB5" w:rsidRDefault="00C31146" w:rsidP="00C31146">
      <w:pPr>
        <w:autoSpaceDE w:val="0"/>
        <w:autoSpaceDN w:val="0"/>
        <w:adjustRightInd w:val="0"/>
      </w:pPr>
      <w:r w:rsidRPr="00CD2DB5">
        <w:t xml:space="preserve">Consumption of fossil fuels in the transportation sector was the single largest source of California’s GHG emissions in 2008, accounting for 36.9% of total GHG emissions in the state (California Air Resources Board, 2012). This category was followed by the electric power sector (including both in-state and out of-state sources) (24.8%) and the industrial sector (21.1%) </w:t>
      </w:r>
      <w:proofErr w:type="gramStart"/>
      <w:r w:rsidRPr="00CD2DB5">
        <w:t>(California Air Resources Board, 2012).</w:t>
      </w:r>
      <w:proofErr w:type="gramEnd"/>
    </w:p>
    <w:p w:rsidR="00C31146" w:rsidRPr="00CD2DB5" w:rsidRDefault="00C31146" w:rsidP="00C31146">
      <w:pPr>
        <w:pStyle w:val="Heading3"/>
      </w:pPr>
      <w:r w:rsidRPr="00CD2DB5">
        <w:t>Effects of Global Climate Change</w:t>
      </w:r>
    </w:p>
    <w:p w:rsidR="00C31146" w:rsidRPr="00CD2DB5" w:rsidRDefault="00C31146" w:rsidP="00C31146">
      <w:pPr>
        <w:keepNext/>
        <w:keepLines/>
        <w:autoSpaceDE w:val="0"/>
        <w:autoSpaceDN w:val="0"/>
        <w:adjustRightInd w:val="0"/>
      </w:pPr>
      <w:r w:rsidRPr="00CD2DB5">
        <w:t xml:space="preserve">The effects of increasing global temperature are far-reaching and extremely difficult to quantify.  The scientific community continues to study the effects of global climate change.  In general, increases in the ambient global temperature as a result of increased GHGs are anticipated to result in rising sea levels, which could threaten coastal areas through accelerated coastal erosion, threats to levees and inland water systems and disruption to coastal wetlands and habitat.   </w:t>
      </w:r>
    </w:p>
    <w:p w:rsidR="00C31146" w:rsidRPr="00CD2DB5" w:rsidRDefault="00C31146" w:rsidP="00C31146">
      <w:r w:rsidRPr="00CD2DB5">
        <w:t>If the temperature of the ocean warms, it is anticipated that the winter snow season would be shortened. Snowpack in the Sierra Nevada provides both water supply (runoff) and storage (within the snowpack before melting), which is a major source of supply for the state. The snowpack portion of the supply could potentially decline by 70% to 90% by the end of the 21</w:t>
      </w:r>
      <w:r w:rsidRPr="00CD2DB5">
        <w:rPr>
          <w:vertAlign w:val="superscript"/>
        </w:rPr>
        <w:t>st</w:t>
      </w:r>
      <w:r w:rsidRPr="00CD2DB5">
        <w:t xml:space="preserve"> century (California Climate Change Center (CCCC), 2006)</w:t>
      </w:r>
      <w:r w:rsidRPr="00CD2DB5">
        <w:rPr>
          <w:rStyle w:val="FootnoteReference"/>
        </w:rPr>
        <w:footnoteReference w:id="6"/>
      </w:r>
      <w:r w:rsidRPr="00CD2DB5">
        <w:t xml:space="preserve">. This phenomenon could lead to significant challenges securing an adequate water supply for a growing state population. Further, the increased ocean temperature could result in increased moisture flux into the state; however, since this would likely increasingly come in the form of rain rather than snow in the high elevations, increased precipitation could lead to increased potential and severity of flood events, placing more pressure on California’s levee/flood control system. </w:t>
      </w:r>
    </w:p>
    <w:p w:rsidR="00C31146" w:rsidRPr="00CD2DB5" w:rsidRDefault="00C31146" w:rsidP="00C31146">
      <w:r w:rsidRPr="00CD2DB5">
        <w:t xml:space="preserve">Sea level has risen approximately seven inches during the last century and it is predicted to rise an additional 22 to 35 inches by 2100, depending on the future GHG emissions levels (CCCC 2006). If this occurs, resultant effects could include increased coastal flooding, saltwater intrusion and disruption of wetlands (CCCC 2006). As the existing climate throughout California changes over time, mass migration of species, or failure of species to migrate in time to adapt to the perturbations in climate, could also result. Under the emissions scenarios of the Climate Scenarios report (CCCC 2006), the impacts of global warming in California are anticipated to include, but are not limited to, the following: </w:t>
      </w:r>
    </w:p>
    <w:p w:rsidR="00C31146" w:rsidRPr="00CD2DB5" w:rsidRDefault="00C31146" w:rsidP="00C31146">
      <w:pPr>
        <w:pStyle w:val="Heading5"/>
      </w:pPr>
      <w:r w:rsidRPr="00CD2DB5">
        <w:lastRenderedPageBreak/>
        <w:t xml:space="preserve">Public Health </w:t>
      </w:r>
    </w:p>
    <w:p w:rsidR="00C31146" w:rsidRPr="00CD2DB5" w:rsidRDefault="00C31146" w:rsidP="00C31146">
      <w:r w:rsidRPr="00CD2DB5">
        <w:t xml:space="preserve">Temperatures in California are projected to rise significantly over the twenty-first century (CCCC 2006). The estimates in the magnitude of warming vary due to uncertainties in climate sensitivity, differences in modeling approaches, and differences in future emissions scenarios (CCCC 2006).  Given the range in projected emissions and temperature increases, the California Climate Change Center has presented temperature increase estimates in the low range, medium range, and high range to reflect the variations in the modeling of future conditions.  Higher temperatures are expected to increase the frequency, duration, and intensity of conditions conducive to air pollution formation. For example, days with weather conducive to ozone formation are projected to increase from 25% to 35% under the lower warming range and to 75% to 85% under the medium warming range. In addition, if global background ozone levels increase as predicted in some scenarios, it may become impossible to meet local air quality standards. Air quality could be further compromised by increases in wildfires, which emit fine particulate matter that can travel long distances depending on wind conditions. The Climate Scenarios report indicates that large wildfires could become up to 55% more frequent if GHG emissions are not significantly reduced. </w:t>
      </w:r>
    </w:p>
    <w:p w:rsidR="00C31146" w:rsidRPr="00CD2DB5" w:rsidRDefault="00C31146" w:rsidP="00C31146">
      <w:r w:rsidRPr="00CD2DB5">
        <w:t>In addition, under the higher warming scenario, there could be up to 100 more days per year with temperatures above 90</w:t>
      </w:r>
      <w:r w:rsidRPr="00CD2DB5">
        <w:rPr>
          <w:vertAlign w:val="superscript"/>
        </w:rPr>
        <w:t>o</w:t>
      </w:r>
      <w:r w:rsidRPr="00CD2DB5">
        <w:t>F in Los Angeles and 95</w:t>
      </w:r>
      <w:r w:rsidRPr="00CD2DB5">
        <w:rPr>
          <w:vertAlign w:val="superscript"/>
        </w:rPr>
        <w:t>o</w:t>
      </w:r>
      <w:r w:rsidRPr="00CD2DB5">
        <w:t xml:space="preserve">F in Sacramento by 2100, which provides a contextual background for understanding temperature increases throughout all areas of California. This is a large increase over historical patterns and approximately twice the increase projected if temperatures remain within or below the lower warming range. Rising temperatures will increase the risk of death from dehydration, heat stroke/exhaustion, heart attack, stroke, and respiratory distress caused by extreme heat. </w:t>
      </w:r>
    </w:p>
    <w:p w:rsidR="00C31146" w:rsidRPr="00CD2DB5" w:rsidRDefault="00C31146" w:rsidP="00C31146">
      <w:pPr>
        <w:pStyle w:val="Heading5"/>
      </w:pPr>
      <w:r w:rsidRPr="00CD2DB5">
        <w:t xml:space="preserve">Water Resources </w:t>
      </w:r>
    </w:p>
    <w:p w:rsidR="00C31146" w:rsidRPr="00CD2DB5" w:rsidRDefault="00C31146" w:rsidP="00C31146">
      <w:r w:rsidRPr="00CD2DB5">
        <w:t xml:space="preserve">A vast network of man-made reservoirs and aqueducts capture and transport water throughout the state from northern California </w:t>
      </w:r>
      <w:proofErr w:type="gramStart"/>
      <w:r w:rsidRPr="00CD2DB5">
        <w:t>rivers</w:t>
      </w:r>
      <w:proofErr w:type="gramEnd"/>
      <w:r w:rsidRPr="00CD2DB5">
        <w:t xml:space="preserve"> and the Colorado River. The current distribution system relies on Sierra Nevada snow pack to supply water during the dry spring and summer months. Rising temperatures, potentially compounded by decreases in precipitation, could severely reduce spring snow pack, increasing the risk of summer water shortages. </w:t>
      </w:r>
    </w:p>
    <w:p w:rsidR="00C31146" w:rsidRPr="00CD2DB5" w:rsidRDefault="00C31146" w:rsidP="00C31146">
      <w:r w:rsidRPr="00CD2DB5">
        <w:t xml:space="preserve">The state’s water supplies are also at risk from rising sea levels. An influx of saltwater would degrade California’s estuaries, wetlands, and groundwater aquifers. Saltwater intrusion caused by rising sea levels is a major threat to the quality and reliability of water within the southern edge of the Sacramento/San Joaquin River Delta, a major state fresh water supply to significant population centers throughout California, and a key water supply for much of California’s agricultural economy, which provides food sources for much of the state. Global warming is also projected to seriously affect agricultural areas, with California farmers projected to lose as much as 25% of the water supply they need; decrease the potential for hydropower production within the state (although the effects on hydropower are uncertain); and seriously harm winter tourism. Under the lower warming range, the snow dependent winter recreational season at lower elevations could be reduced by as much as one month. If temperatures reach the higher warming range and </w:t>
      </w:r>
      <w:r w:rsidRPr="00CD2DB5">
        <w:lastRenderedPageBreak/>
        <w:t xml:space="preserve">precipitation declines, there might be many years with insufficient snow for skiing, snowboarding, and other snow dependent recreational activities. </w:t>
      </w:r>
    </w:p>
    <w:p w:rsidR="00C31146" w:rsidRPr="00CD2DB5" w:rsidRDefault="00C31146" w:rsidP="00C31146">
      <w:r w:rsidRPr="00CD2DB5">
        <w:t xml:space="preserve">If GHG emissions continue unabated, more precipitation will fall as rain instead of snow, and the snow that does fall will melt earlier, reducing the Sierra Nevada spring snow pack by as much as 70% to 90%. Under the lower warming scenario, snow pack losses are expected to be only half as large as those expected if temperatures were to rise to the higher warming range. How much snow pack will be lost depends in part on future precipitation patterns, the projections for which remain uncertain. However, even under the wetter climate projections, the loss of snow pack would pose challenges to water managers, hamper hydropower generation, and nearly eliminate all skiing and other snow-related recreational activities. </w:t>
      </w:r>
    </w:p>
    <w:p w:rsidR="00C31146" w:rsidRPr="00CD2DB5" w:rsidRDefault="00C31146" w:rsidP="00C31146">
      <w:pPr>
        <w:pStyle w:val="Heading5"/>
      </w:pPr>
      <w:r w:rsidRPr="00CD2DB5">
        <w:t xml:space="preserve">Agriculture </w:t>
      </w:r>
    </w:p>
    <w:p w:rsidR="00C31146" w:rsidRPr="00CD2DB5" w:rsidRDefault="00C31146" w:rsidP="00C31146">
      <w:r w:rsidRPr="00CD2DB5">
        <w:t xml:space="preserve">Increased GHG emissions are expected to cause widespread changes to the agriculture industry reducing the quantity and quality of agricultural products statewide. Although higher carbon dioxide levels can stimulate plant production and increase plant water-use efficiency, California’s farmers will face greater water demand for crops and a less reliable water supply as temperatures rise. </w:t>
      </w:r>
    </w:p>
    <w:p w:rsidR="00C31146" w:rsidRPr="00CD2DB5" w:rsidRDefault="00C31146" w:rsidP="00C31146">
      <w:r w:rsidRPr="00CD2DB5">
        <w:t xml:space="preserve">Plant growth tends to be slow at low temperatures, increasing with rising temperatures up to a threshold. However, faster growth can result in less-than-optimal development for many crops, so rising temperatures are likely to worsen the quantity and quality of yield for a number of California’s agricultural products. Products likely to be most affected include wine grapes, fruits, and nuts. </w:t>
      </w:r>
    </w:p>
    <w:p w:rsidR="00C31146" w:rsidRPr="00CD2DB5" w:rsidRDefault="00C31146" w:rsidP="00C31146">
      <w:r w:rsidRPr="00CD2DB5">
        <w:t>Crop growth and development will be affected, as will the intensity and frequency of pest and disease outbreaks. Rising temperatures will likely aggravate ozone pollution, which makes plants more susceptible to disease and pests and interferes with plant growth.</w:t>
      </w:r>
    </w:p>
    <w:p w:rsidR="00C31146" w:rsidRPr="00CD2DB5" w:rsidRDefault="00C31146" w:rsidP="00C31146">
      <w:r w:rsidRPr="00CD2DB5">
        <w:t xml:space="preserve">In addition, continued global warming will likely shift the ranges of existing invasive plants and weeds and alter competition patterns with native plants. Range expansion is expected in many species while range contractions are less likely in rapidly evolving species with significant populations already established. Should range contractions occur, it is likely that new or different weed species will fill the emerging gaps. Continued global warming is also likely to alter the abundance and types of many pests, lengthen pests’ breeding season, and increase pathogen growth rates. </w:t>
      </w:r>
    </w:p>
    <w:p w:rsidR="00C31146" w:rsidRPr="00CD2DB5" w:rsidRDefault="00C31146" w:rsidP="00C31146">
      <w:pPr>
        <w:pStyle w:val="Heading5"/>
      </w:pPr>
      <w:r w:rsidRPr="00CD2DB5">
        <w:t xml:space="preserve">Forests and Landscapes </w:t>
      </w:r>
    </w:p>
    <w:p w:rsidR="00C31146" w:rsidRPr="00CD2DB5" w:rsidRDefault="00C31146" w:rsidP="00C31146">
      <w:r w:rsidRPr="00CD2DB5">
        <w:t xml:space="preserve">Global warming is expected to alter the distribution and character of natural vegetation thereby resulting in a possible increased risk of large wildfires. If temperatures rise into the medium warming range, the risk of large wildfires in California could increase by as much as 55%, which is almost twice the increase expected if temperatures stay in the lower warming range. However, since wildfire risk is determined by a combination of factors, including precipitation, winds, temperature, and landscape and vegetation conditions, future risks will not be uniform throughout </w:t>
      </w:r>
      <w:r w:rsidRPr="00CD2DB5">
        <w:lastRenderedPageBreak/>
        <w:t xml:space="preserve">the state. For example, if precipitation increases as temperatures rise, wildfires in southern California are expected to increase by approximately 30% toward the end of the century. In contrast, precipitation decreases could increase wildfires in northern California by up to 90%. </w:t>
      </w:r>
    </w:p>
    <w:p w:rsidR="00C31146" w:rsidRPr="00CD2DB5" w:rsidRDefault="00C31146" w:rsidP="00C31146">
      <w:r w:rsidRPr="00CD2DB5">
        <w:t xml:space="preserve">Moreover, continued global warming will alter natural ecosystems and biological diversity within the state. For example, alpine and sub-alpine ecosystems are expected to decline by as much as 60% to 80% by the end of the century as a result of increasing temperatures. The productivity of the state’s forests is also expected to decrease as a result of global warming. </w:t>
      </w:r>
    </w:p>
    <w:p w:rsidR="00C31146" w:rsidRPr="00CD2DB5" w:rsidRDefault="00C31146" w:rsidP="00C31146">
      <w:pPr>
        <w:pStyle w:val="Heading5"/>
      </w:pPr>
      <w:r w:rsidRPr="00CD2DB5">
        <w:t xml:space="preserve">Rising Sea Levels </w:t>
      </w:r>
    </w:p>
    <w:p w:rsidR="00C31146" w:rsidRPr="00CD2DB5" w:rsidRDefault="00C31146" w:rsidP="00C31146">
      <w:r w:rsidRPr="00CD2DB5">
        <w:t xml:space="preserve">Rising sea levels, more intense coastal storms, and warmer water temperatures will increasingly threaten the state’s coastal regions. Under the higher warming scenario, sea level is anticipated to rise 22 to 35 inches by 2100. Elevations of this magnitude would inundate coastal areas with saltwater, accelerate coastal erosion, threaten vital levees and inland water systems, and disrupt wetlands and natural habitats. </w:t>
      </w:r>
    </w:p>
    <w:p w:rsidR="00C31146" w:rsidRPr="00CD2DB5" w:rsidRDefault="00C31146" w:rsidP="00C31146">
      <w:pPr>
        <w:pStyle w:val="Heading3"/>
      </w:pPr>
      <w:r w:rsidRPr="00CD2DB5">
        <w:t>Energy Consumption</w:t>
      </w:r>
    </w:p>
    <w:p w:rsidR="00C31146" w:rsidRPr="00CD2DB5" w:rsidRDefault="00C31146" w:rsidP="00C31146">
      <w:r w:rsidRPr="00CD2DB5">
        <w:t>The consumption of nonrenewable energy (primarily gasoline and diesel fuel) associated with the operation of passenger, public transit, and commercial vehicles results in GHG emissions that ultimately result in global climate change. Alternative fuels such as natural gas, ethanol, and electricity (unless derived from solar, wind, nuclear, or other energy sources that do not produce carbon emissions) also result in GHG emissions and contribute to global climate change.</w:t>
      </w:r>
    </w:p>
    <w:p w:rsidR="00C31146" w:rsidRPr="00CD2DB5" w:rsidRDefault="00C31146" w:rsidP="00C31146">
      <w:pPr>
        <w:pStyle w:val="Heading4"/>
      </w:pPr>
      <w:r w:rsidRPr="00CD2DB5">
        <w:t>Electricity Consumption</w:t>
      </w:r>
    </w:p>
    <w:p w:rsidR="00C31146" w:rsidRPr="00CD2DB5" w:rsidRDefault="00C31146" w:rsidP="00C31146">
      <w:r w:rsidRPr="00CD2DB5">
        <w:t>California relies on a regional power system composed of a diverse mix of natural gas, renewable, hydroelectric, and nuclear generation resources. Approximately 71 percent of the electrical power needed to meet California’s demand is produced in the state. Approximately 29 percent of its electricity demand is imported from the Pacific Northwest and the Southwest (California Energy Commission, 2012)</w:t>
      </w:r>
      <w:r w:rsidRPr="00CD2DB5">
        <w:rPr>
          <w:rStyle w:val="FootnoteReference"/>
        </w:rPr>
        <w:footnoteReference w:id="7"/>
      </w:r>
      <w:r w:rsidRPr="00CD2DB5">
        <w:t>. In 2010, California’s in-state generated electricity was derived from natural gas (53.4 percent), large hydroelectric resources (14.6 percent), coal (1.7 percent), nuclear sources (15.7 percent), and renewable resources that include geothermal, biomass, small hydroelectric resources, wind, and solar (14.6 percent) (California Energy Commission, 2012).</w:t>
      </w:r>
    </w:p>
    <w:p w:rsidR="00C31146" w:rsidRPr="00CD2DB5" w:rsidRDefault="00C31146" w:rsidP="00C31146">
      <w:r w:rsidRPr="00CD2DB5">
        <w:t xml:space="preserve">According to the California Energy Commission (CEC), total statewide electricity consumption increased from 166,979 gigawatt-hours (GWh) in 1980 to 228,038 GWh in 1990, which is an estimated annual growth rate of 3.66 percent. The statewide electricity consumption in 1997 was 246,225 GWh, reflecting an annual growth rate of 1.14 percent between 1990 and 1997 (California </w:t>
      </w:r>
      <w:r w:rsidRPr="00CD2DB5">
        <w:lastRenderedPageBreak/>
        <w:t xml:space="preserve">Energy Commission Energy Almanac, 2012). Statewide consumption was 274,985 GWh in 2010, an annual growth rate of 0.9 percent between 1997 and 2010. </w:t>
      </w:r>
    </w:p>
    <w:p w:rsidR="00C31146" w:rsidRPr="00CD2DB5" w:rsidRDefault="00C31146" w:rsidP="00C31146">
      <w:pPr>
        <w:pStyle w:val="Heading4"/>
      </w:pPr>
      <w:r w:rsidRPr="00CD2DB5">
        <w:t>Oil</w:t>
      </w:r>
    </w:p>
    <w:p w:rsidR="00C31146" w:rsidRPr="00CD2DB5" w:rsidRDefault="00C31146" w:rsidP="00C31146">
      <w:r w:rsidRPr="00CD2DB5">
        <w:t>The primary energy source for the United States is oil, which is refined to produce fuels like gasoline, diesel, and jet fuel. Oil is a finite, nonrenewable energy source. World consumption of petroleum products has grown steadily in the last several decades. As of 2009, world consumption of oil had reached 96 million barrels per day. The United States, with approximately five percent of the world’s population, accounts for approximately 19 percent of world oil consumption, or approximately 18.6 million barrels per day (The World Factbook 2009, Washington, DC: Central Intelligence Agency, 2009). The transportation sector relies heavily on oil. In California, petroleum based fuels currently provide approximately 96 percent of the state’s transportation energy needs (California Energy Commission, 2012).</w:t>
      </w:r>
    </w:p>
    <w:p w:rsidR="00C31146" w:rsidRPr="00CD2DB5" w:rsidRDefault="00C31146" w:rsidP="00C31146">
      <w:pPr>
        <w:pStyle w:val="Heading4"/>
      </w:pPr>
      <w:r w:rsidRPr="00CD2DB5">
        <w:t>Natural Gas</w:t>
      </w:r>
    </w:p>
    <w:p w:rsidR="00C31146" w:rsidRPr="00CD2DB5" w:rsidRDefault="00C31146" w:rsidP="00C31146">
      <w:r w:rsidRPr="00CD2DB5">
        <w:t>Natural gas supplies are derived from underground sources and brought to the surface at gas wells. Once it is extracted, gas is purified and the odorant that allows gas leaks to be detected is added to the normally odorless gas. Natural gas suppliers, such as PG&amp;E, then send the gas into transmission pipelines, which are usually buried underground. Compressors propel the gas through the pipeline system, which delivers it to homes and businesses.</w:t>
      </w:r>
    </w:p>
    <w:p w:rsidR="00C31146" w:rsidRDefault="00C31146" w:rsidP="00C31146">
      <w:r w:rsidRPr="00CD2DB5">
        <w:t xml:space="preserve">The state produces approximately 12 percent of its natural gas, while obtaining 22 percent from Canada and 65 percent from the Rockies and the Southwest (California Energy Commission, 2012). In 2006, California produced 325.6 billion cubic feet of natural gas (California Energy Commission, 2012). </w:t>
      </w:r>
    </w:p>
    <w:p w:rsidR="00447718" w:rsidRDefault="00C31146">
      <w:pPr>
        <w:pStyle w:val="Heading3"/>
      </w:pPr>
      <w:r w:rsidRPr="004B03C5">
        <w:t>GHG Measurement</w:t>
      </w:r>
    </w:p>
    <w:p w:rsidR="00C31146" w:rsidRPr="00085876" w:rsidRDefault="00C31146" w:rsidP="00C31146">
      <w:r w:rsidRPr="00085876">
        <w:t>Carbon dioxide equivalents (CO</w:t>
      </w:r>
      <w:r w:rsidRPr="00FF0D09">
        <w:rPr>
          <w:vertAlign w:val="subscript"/>
        </w:rPr>
        <w:t>2</w:t>
      </w:r>
      <w:r w:rsidRPr="00085876">
        <w:t>e) provide a universal standard of measurement against which the impacts of releasing, or avoiding the release of, different GHGs can be evaluated.  Every greenhouse gas has a Global Warming Potential (GWP), a measurement of the impact that particular gas has on radiative forcing; that is, the amount of heat/energy that is retained in the Earth's atmosphere through the addition of this gas to the atmosphere.  The GWP of a given gas describes its effect on climate change relative to a similar amount of carbon dioxide (the GWP of CO</w:t>
      </w:r>
      <w:r w:rsidRPr="00FF0D09">
        <w:rPr>
          <w:vertAlign w:val="subscript"/>
        </w:rPr>
        <w:t>2</w:t>
      </w:r>
      <w:r w:rsidRPr="00085876">
        <w:t xml:space="preserve"> is 1.0 by definition).  </w:t>
      </w:r>
    </w:p>
    <w:p w:rsidR="00C31146" w:rsidRPr="00085876" w:rsidRDefault="00C31146" w:rsidP="00C31146">
      <w:r w:rsidRPr="00085876">
        <w:t>The GWP of a gas depends on two factors, the ability of the gas to absorb energy, and the lifetime of the gas in the atmosphere.  GWPs can be expressed on an instantaneous basis, which reflects only the relative ability of the gas to absorb energy, or with an explicit time factor built-in.  The residence time of CO</w:t>
      </w:r>
      <w:r w:rsidRPr="00FF0D09">
        <w:rPr>
          <w:vertAlign w:val="subscript"/>
        </w:rPr>
        <w:t>2</w:t>
      </w:r>
      <w:r w:rsidRPr="00085876">
        <w:t xml:space="preserve"> in the atmosphere is generally believed to be in excess of 100 years, and some of the other GHGs have even longer residence times.  Thus, most analyses use a timeframe in the range of 25 – 100 years in determining the warming potential of GHGs that are emitted into the atmosphere today.</w:t>
      </w:r>
    </w:p>
    <w:p w:rsidR="00C31146" w:rsidRPr="00085876" w:rsidRDefault="00C31146" w:rsidP="00C31146">
      <w:r w:rsidRPr="00085876">
        <w:lastRenderedPageBreak/>
        <w:t>Of the five principal GHGs, only CO</w:t>
      </w:r>
      <w:r w:rsidRPr="00FF0D09">
        <w:rPr>
          <w:vertAlign w:val="subscript"/>
        </w:rPr>
        <w:t>2</w:t>
      </w:r>
      <w:r w:rsidRPr="00085876">
        <w:t xml:space="preserve"> and CH</w:t>
      </w:r>
      <w:r w:rsidRPr="00FF0D09">
        <w:rPr>
          <w:vertAlign w:val="subscript"/>
        </w:rPr>
        <w:t>4</w:t>
      </w:r>
      <w:r w:rsidRPr="00085876">
        <w:t xml:space="preserve"> </w:t>
      </w:r>
      <w:r w:rsidR="00BA5BC3">
        <w:t xml:space="preserve">(methane) </w:t>
      </w:r>
      <w:r w:rsidRPr="00085876">
        <w:t>are emitted during the combustion of fuels.  On a per-carbon basis, CH</w:t>
      </w:r>
      <w:r w:rsidRPr="00FF0D09">
        <w:rPr>
          <w:vertAlign w:val="subscript"/>
        </w:rPr>
        <w:t>4</w:t>
      </w:r>
      <w:r w:rsidRPr="00085876">
        <w:t xml:space="preserve"> has a GWP that is 25 times greater than the GWP of CO</w:t>
      </w:r>
      <w:r w:rsidRPr="00FF0D09">
        <w:rPr>
          <w:vertAlign w:val="subscript"/>
        </w:rPr>
        <w:t>2</w:t>
      </w:r>
      <w:r w:rsidRPr="00085876">
        <w:t xml:space="preserve"> on an instantaneous basis.  However, the average residence time of CH</w:t>
      </w:r>
      <w:r w:rsidRPr="00FF0D09">
        <w:rPr>
          <w:vertAlign w:val="subscript"/>
        </w:rPr>
        <w:t>4</w:t>
      </w:r>
      <w:r w:rsidRPr="00085876">
        <w:t xml:space="preserve"> in the atmosphere is only about one-tenth as long as the average residence time of CO</w:t>
      </w:r>
      <w:r w:rsidRPr="00FF0D09">
        <w:rPr>
          <w:vertAlign w:val="subscript"/>
        </w:rPr>
        <w:t>2</w:t>
      </w:r>
      <w:r w:rsidRPr="00085876">
        <w:t>, and its clearance involves conversion to CO</w:t>
      </w:r>
      <w:r w:rsidRPr="00FF0D09">
        <w:rPr>
          <w:vertAlign w:val="subscript"/>
        </w:rPr>
        <w:t>2</w:t>
      </w:r>
      <w:r w:rsidRPr="00085876">
        <w:t>, so when a time factor is added the relative GWP of CH</w:t>
      </w:r>
      <w:r w:rsidRPr="00FF0D09">
        <w:rPr>
          <w:vertAlign w:val="subscript"/>
        </w:rPr>
        <w:t>4</w:t>
      </w:r>
      <w:r w:rsidRPr="00085876">
        <w:t xml:space="preserve"> goes down to values in the range of 7.5–12.5 on a per-carbon basis, depending on the length of the timeframe being used in the analysis.  GWPs are often reported on a per-weight basis, rather than a per-carbon basis.  The instantaneous GWP of </w:t>
      </w:r>
      <w:r w:rsidR="00BA5BC3" w:rsidRPr="00085876">
        <w:t>CH</w:t>
      </w:r>
      <w:r w:rsidR="00BA5BC3" w:rsidRPr="00FF0D09">
        <w:rPr>
          <w:vertAlign w:val="subscript"/>
        </w:rPr>
        <w:t>4</w:t>
      </w:r>
      <w:r w:rsidR="007727B4" w:rsidRPr="007727B4">
        <w:t xml:space="preserve"> </w:t>
      </w:r>
      <w:r w:rsidRPr="00085876">
        <w:t>on a weight basis is 69 relative to the same weight of CO</w:t>
      </w:r>
      <w:r w:rsidRPr="00FF0D09">
        <w:rPr>
          <w:vertAlign w:val="subscript"/>
        </w:rPr>
        <w:t>2</w:t>
      </w:r>
      <w:r w:rsidRPr="00085876">
        <w:t>, and with a time factor built-in it falls to a range of about 20–35.</w:t>
      </w:r>
    </w:p>
    <w:p w:rsidR="00C31146" w:rsidRPr="00CD2DB5" w:rsidRDefault="00C31146" w:rsidP="00C31146">
      <w:pPr>
        <w:pStyle w:val="Heading2"/>
      </w:pPr>
      <w:r w:rsidRPr="00CD2DB5">
        <w:t>3.6.2 Regulatory Setting</w:t>
      </w:r>
    </w:p>
    <w:p w:rsidR="00C31146" w:rsidRPr="00CD2DB5" w:rsidRDefault="00C31146" w:rsidP="00C31146">
      <w:pPr>
        <w:pStyle w:val="Heading3"/>
      </w:pPr>
      <w:r w:rsidRPr="00CD2DB5">
        <w:t xml:space="preserve">Federal </w:t>
      </w:r>
    </w:p>
    <w:p w:rsidR="00C31146" w:rsidRPr="00CD2DB5" w:rsidRDefault="00C31146" w:rsidP="00C31146">
      <w:pPr>
        <w:pStyle w:val="Heading4"/>
      </w:pPr>
      <w:r w:rsidRPr="00CD2DB5">
        <w:t>Clean Air Act</w:t>
      </w:r>
    </w:p>
    <w:p w:rsidR="00C31146" w:rsidRPr="00CD2DB5" w:rsidRDefault="00C31146" w:rsidP="00C31146">
      <w:r w:rsidRPr="00CD2DB5">
        <w:t xml:space="preserve">The Federal Clean Air Act (FCAA) was first signed into law in 1970. In 1977, and again in 1990, the law was substantially amended. The FCAA is the foundation for a national air pollution control effort, and it is composed of the following basic elements: National ambient air </w:t>
      </w:r>
      <w:r w:rsidRPr="00CD2DB5">
        <w:tab/>
        <w:t>quality standards (NAAQS) for criteria air pollutants, hazardous air pollutant standards, state attainment plans, motor vehicle emissions standards, stationary source emissions standards and permits, acid rain control measures, stratospheric ozone protection, and enforcement provisions.</w:t>
      </w:r>
    </w:p>
    <w:p w:rsidR="00C31146" w:rsidRPr="00CD2DB5" w:rsidRDefault="00C31146" w:rsidP="00C31146">
      <w:r w:rsidRPr="00CD2DB5">
        <w:t>The EPA is responsible for administering the FCAA. The FCAA requires the EPA to set NAAQS for several problem air pollutants based on human health and welfare criteria. Two types of NAAQS were established: primary standards, which protect public health, and secondary standards, which protect the public welfare from non-health-related adverse effects such as visibility reduction.</w:t>
      </w:r>
    </w:p>
    <w:p w:rsidR="00C31146" w:rsidRPr="00CD2DB5" w:rsidRDefault="00C31146" w:rsidP="00C31146">
      <w:pPr>
        <w:pStyle w:val="Heading4"/>
      </w:pPr>
      <w:r w:rsidRPr="00CD2DB5">
        <w:t xml:space="preserve">Federal Climate Change Policy </w:t>
      </w:r>
    </w:p>
    <w:p w:rsidR="00C31146" w:rsidRPr="00CD2DB5" w:rsidRDefault="00C31146" w:rsidP="00C31146">
      <w:r w:rsidRPr="00CD2DB5">
        <w:t xml:space="preserve">According to the EPA, “the United States government has established a comprehensive policy to address climate change” that includes slowing the growth of emissions; strengthening science, technology, and institutions; and enhancing international cooperation. To implement this policy, “the Federal government is using voluntary and incentive-based programs to reduce emissions and has established programs to promote climate technology and science.” The federal government’s goal is to reduce the greenhouse gas (GHG) intensity (a measurement of GHG emissions per unit of economic activity) of the American economy by 18 percent over the 10-year period from 2002 to 2012.  At the time of this writing, a quantification of the effectiveness of these policies at the national level is not available. In addition, the EPA administers multiple programs that encourage voluntary GHG reductions, including “ENERGY STAR”, “Climate Leaders”, and Methane Voluntary Programs. However, as of this writing, there are no adopted federal plans, policies, regulations, or laws directly regulating GHG emissions. </w:t>
      </w:r>
    </w:p>
    <w:p w:rsidR="00C31146" w:rsidRPr="00CD2DB5" w:rsidRDefault="00C31146" w:rsidP="00C31146">
      <w:pPr>
        <w:pStyle w:val="Heading3"/>
      </w:pPr>
      <w:r w:rsidRPr="00CD2DB5">
        <w:lastRenderedPageBreak/>
        <w:t>State</w:t>
      </w:r>
    </w:p>
    <w:p w:rsidR="00C31146" w:rsidRPr="00CD2DB5" w:rsidRDefault="00C31146" w:rsidP="00C31146">
      <w:pPr>
        <w:pStyle w:val="Heading4"/>
      </w:pPr>
      <w:r w:rsidRPr="00CD2DB5">
        <w:t xml:space="preserve">Assembly Bill 1493 </w:t>
      </w:r>
    </w:p>
    <w:p w:rsidR="00C31146" w:rsidRPr="00CD2DB5" w:rsidRDefault="00C31146" w:rsidP="00C31146">
      <w:r w:rsidRPr="00CD2DB5">
        <w:t xml:space="preserve">In response to AB 1493, CARB approved amendments to the California Code of Regulations (CCR) adding GHG emission standards to California’s existing motor vehicle emission standards. Amendments to CCR Title 13 Sections 1900 (CCR 13 1900) and 1961 (CCR 13 1961), and adoption of Section 1961.1 (CCR 13 1961.1) require automobile manufacturers to meet fleet average GHG emission limits for all passenger cars, light-duty trucks within various weight criteria, and medium-duty passenger vehicle weight classes beginning with the 2009 model year. Emission limits are further reduced each model year through 2016. For passenger cars and light-duty trucks 3,750 pounds or less loaded vehicle weight (LVW), the 2016 GHG emission limits are approximately 37 percent lower than during the first year of the regulations in 2009. For medium-duty passenger vehicles and light-duty trucks 3,751 LVW to 8,500 pounds gross vehicle weight (GVW), GHG emissions are reduced approximately 24 percent between 2009 and 2016.  </w:t>
      </w:r>
    </w:p>
    <w:p w:rsidR="00C31146" w:rsidRPr="00CD2DB5" w:rsidRDefault="00C31146" w:rsidP="00C31146">
      <w:pPr>
        <w:rPr>
          <w:color w:val="000000"/>
        </w:rPr>
      </w:pPr>
      <w:r w:rsidRPr="00CD2DB5">
        <w:t xml:space="preserve">CARB requested a waiver of federal preemption of California’s Greenhouse Gas Emissions Standards. The intent of the waiver is to allow California to enact emissions standards to reduce carbon dioxide and other greenhouse gas emissions from automobiles in accordance with the regulation amendments to the CCRs that fulfill the requirements of AB 1493. </w:t>
      </w:r>
      <w:r w:rsidRPr="00CD2DB5">
        <w:rPr>
          <w:color w:val="000000"/>
        </w:rPr>
        <w:t xml:space="preserve">The EPA granted a waiver to California to implement its greenhouse gas emissions standards for cars. </w:t>
      </w:r>
    </w:p>
    <w:p w:rsidR="00C31146" w:rsidRPr="00CD2DB5" w:rsidRDefault="00C31146" w:rsidP="00C31146">
      <w:pPr>
        <w:pStyle w:val="Heading4"/>
      </w:pPr>
      <w:r w:rsidRPr="00CD2DB5">
        <w:t>Assembly Bill 1007</w:t>
      </w:r>
    </w:p>
    <w:p w:rsidR="00C31146" w:rsidRPr="00CD2DB5" w:rsidRDefault="00660560" w:rsidP="00C31146">
      <w:hyperlink r:id="rId8" w:history="1">
        <w:r w:rsidR="00C31146" w:rsidRPr="00CD2DB5">
          <w:t>Assembly Bill 1007</w:t>
        </w:r>
      </w:hyperlink>
      <w:r w:rsidR="00C31146" w:rsidRPr="00CD2DB5">
        <w:t xml:space="preserve">, (Pavley, Chapter 371, Statutes of 2005) directed the CEC to prepare a plan to increase the use of alternative fuels in California. As a result, the CEC prepared the State Alternative Fuels Plan in consultation with the state, federal, and local agencies.  The plan presents strategies and actions California must take to increase the use of alternative non-petroleum fuels in a manner that minimizes costs to California and maximizes the economic benefits of in-state production. The Plan assessed various alternative fuels and developed fuel portfolios to meet California’s goals to reduce petroleum consumption, increase alternative fuels use, reduce greenhouse gas emissions, and increase in-state production of biofuels without causing a significant degradation of public health and environmental quality. </w:t>
      </w:r>
    </w:p>
    <w:p w:rsidR="00C31146" w:rsidRPr="00CD2DB5" w:rsidRDefault="00C31146" w:rsidP="00C31146">
      <w:pPr>
        <w:pStyle w:val="Heading4"/>
      </w:pPr>
      <w:r w:rsidRPr="00CD2DB5">
        <w:t xml:space="preserve">California Executive Orders S-3-05 and S-20-06, and Assembly Bill 32 </w:t>
      </w:r>
    </w:p>
    <w:p w:rsidR="00C31146" w:rsidRPr="00CD2DB5" w:rsidRDefault="00C31146" w:rsidP="00C31146">
      <w:r w:rsidRPr="00CD2DB5">
        <w:t xml:space="preserve">On June 1, 2005, Governor Arnold Schwarzenegger signed Executive Order S-3-05.  The goal of this Executive Order is to reduce California’s GHG emissions to:  1) 2000 levels by 2010, 2) 1990 levels by the year 2020 and 3) 80% below the 1990 levels by the year 2050.  </w:t>
      </w:r>
    </w:p>
    <w:p w:rsidR="00C31146" w:rsidRPr="00CD2DB5" w:rsidRDefault="00C31146" w:rsidP="00C31146">
      <w:r w:rsidRPr="00CD2DB5">
        <w:t xml:space="preserve">In 2006, this goal was further reinforced with the passage of Assembly Bill 32 (AB 32), the Global Warming Solutions Act of 2006.  AB 32 sets the same overall GHG emissions reduction goals while further mandating that CARB create a plan, which includes market mechanisms, and implement rules to achieve “real, quantifiable, cost-effective reductions of greenhouse gases.”  Executive Order S-20-06 further directs state agencies to begin implementing AB 32, including the recommendations made by the state’s Climate Action Team.  </w:t>
      </w:r>
    </w:p>
    <w:p w:rsidR="00C31146" w:rsidRPr="00CD2DB5" w:rsidRDefault="00C31146" w:rsidP="00C31146">
      <w:pPr>
        <w:pStyle w:val="Heading4"/>
      </w:pPr>
      <w:r w:rsidRPr="00CD2DB5">
        <w:lastRenderedPageBreak/>
        <w:t>Assembly Bill 32- Climate Change Scoping Plan</w:t>
      </w:r>
    </w:p>
    <w:p w:rsidR="00C31146" w:rsidRPr="00CD2DB5" w:rsidRDefault="00C31146" w:rsidP="00C31146">
      <w:r w:rsidRPr="00CD2DB5">
        <w:t xml:space="preserve">On December 11, 2008 ARB adopted its </w:t>
      </w:r>
      <w:r w:rsidRPr="00CD2DB5">
        <w:rPr>
          <w:i/>
          <w:iCs/>
        </w:rPr>
        <w:t xml:space="preserve">Climate Change Scoping Plan </w:t>
      </w:r>
      <w:r w:rsidRPr="00CD2DB5">
        <w:t>(Scoping Plan), which functions as a roadmap of ARB’s plans to achieve GHG reductions in California required by AB 32 through subsequently enacted regulations. The Scoping Plan contains the main strategies California will implement to reduce CO</w:t>
      </w:r>
      <w:r w:rsidRPr="00CD2DB5">
        <w:rPr>
          <w:sz w:val="14"/>
          <w:szCs w:val="14"/>
        </w:rPr>
        <w:t>2</w:t>
      </w:r>
      <w:r w:rsidRPr="00CD2DB5">
        <w:t>e emissions by 169 million metric tons (MMT), or approximately 30 percent, from the state’s projected 2020 emissions level of 596 MMT of CO</w:t>
      </w:r>
      <w:r w:rsidRPr="00CD2DB5">
        <w:rPr>
          <w:sz w:val="14"/>
          <w:szCs w:val="14"/>
        </w:rPr>
        <w:t>2</w:t>
      </w:r>
      <w:r w:rsidRPr="00CD2DB5">
        <w:t>e under a business‐as‐usual scenario. (This is a reduction of 42 MMT CO</w:t>
      </w:r>
      <w:r w:rsidRPr="00CD2DB5">
        <w:rPr>
          <w:sz w:val="14"/>
          <w:szCs w:val="14"/>
        </w:rPr>
        <w:t>2</w:t>
      </w:r>
      <w:r w:rsidRPr="00CD2DB5">
        <w:t>e, or almost 10 percent, from 2002–2004 average emissions, but requires the reductions in the face of population and economic growth through 2020.) The Scoping Plan also breaks down the amount of GHG emissions reductions ARB recommends for each emissions sector of the state’s GHG inventory. The Scoping Plan calls for the largest reductions in GHG emissions to be achieved by implementing the following measures and standards:</w:t>
      </w:r>
    </w:p>
    <w:p w:rsidR="00C31146" w:rsidRPr="00CD2DB5" w:rsidRDefault="00C31146" w:rsidP="00C31146">
      <w:pPr>
        <w:numPr>
          <w:ilvl w:val="0"/>
          <w:numId w:val="3"/>
        </w:numPr>
      </w:pPr>
      <w:r w:rsidRPr="00CD2DB5">
        <w:t>improved emissions standards for light-duty vehicles (estimated reductions of 31.7 MMT CO</w:t>
      </w:r>
      <w:r w:rsidRPr="00CD2DB5">
        <w:rPr>
          <w:vertAlign w:val="subscript"/>
        </w:rPr>
        <w:t>2</w:t>
      </w:r>
      <w:r w:rsidRPr="00CD2DB5">
        <w:t>e),</w:t>
      </w:r>
    </w:p>
    <w:p w:rsidR="00C31146" w:rsidRPr="00CD2DB5" w:rsidRDefault="00C31146" w:rsidP="00C31146">
      <w:pPr>
        <w:numPr>
          <w:ilvl w:val="0"/>
          <w:numId w:val="3"/>
        </w:numPr>
      </w:pPr>
      <w:r w:rsidRPr="00CD2DB5">
        <w:t>the Low-Carbon Fuel Standard (15.0 MMT CO</w:t>
      </w:r>
      <w:r w:rsidRPr="00CD2DB5">
        <w:rPr>
          <w:vertAlign w:val="subscript"/>
        </w:rPr>
        <w:t>2</w:t>
      </w:r>
      <w:r w:rsidRPr="00CD2DB5">
        <w:t>e),</w:t>
      </w:r>
    </w:p>
    <w:p w:rsidR="00C31146" w:rsidRPr="00CD2DB5" w:rsidRDefault="00C31146" w:rsidP="00C31146">
      <w:pPr>
        <w:numPr>
          <w:ilvl w:val="0"/>
          <w:numId w:val="3"/>
        </w:numPr>
      </w:pPr>
      <w:r w:rsidRPr="00CD2DB5">
        <w:t>energy efficiency measures in buildings and appliances and the widespread development of combined heat and power systems (26.3 MMT CO</w:t>
      </w:r>
      <w:r w:rsidRPr="00CD2DB5">
        <w:rPr>
          <w:vertAlign w:val="subscript"/>
        </w:rPr>
        <w:t>2</w:t>
      </w:r>
      <w:r w:rsidRPr="00CD2DB5">
        <w:t>e), and</w:t>
      </w:r>
    </w:p>
    <w:p w:rsidR="00C31146" w:rsidRPr="00CD2DB5" w:rsidRDefault="00C31146" w:rsidP="00C31146">
      <w:pPr>
        <w:numPr>
          <w:ilvl w:val="0"/>
          <w:numId w:val="3"/>
        </w:numPr>
      </w:pPr>
      <w:proofErr w:type="gramStart"/>
      <w:r w:rsidRPr="00CD2DB5">
        <w:t>a</w:t>
      </w:r>
      <w:proofErr w:type="gramEnd"/>
      <w:r w:rsidRPr="00CD2DB5">
        <w:t xml:space="preserve"> renewable portfolio standard for electricity production (21.3 MMT CO</w:t>
      </w:r>
      <w:r w:rsidRPr="00CD2DB5">
        <w:rPr>
          <w:vertAlign w:val="subscript"/>
        </w:rPr>
        <w:t>2</w:t>
      </w:r>
      <w:r w:rsidRPr="00CD2DB5">
        <w:t xml:space="preserve">e).  </w:t>
      </w:r>
    </w:p>
    <w:p w:rsidR="00C31146" w:rsidRPr="00CD2DB5" w:rsidRDefault="00C31146" w:rsidP="00C31146">
      <w:pPr>
        <w:pStyle w:val="Heading4"/>
      </w:pPr>
      <w:r w:rsidRPr="00CD2DB5">
        <w:t xml:space="preserve">California Strategy to Reduce Petroleum Dependence (AB 2076) </w:t>
      </w:r>
    </w:p>
    <w:p w:rsidR="00C31146" w:rsidRPr="00CD2DB5" w:rsidRDefault="00C31146" w:rsidP="00C31146">
      <w:r w:rsidRPr="00CD2DB5">
        <w:t xml:space="preserve">In response to the requirements of AB 2076 (Chapter 936, Statutes of 2000), the CEC and the CARB developed a strategy to reduce petroleum dependence in California. The strategy, </w:t>
      </w:r>
      <w:r w:rsidRPr="00CD2DB5">
        <w:rPr>
          <w:i/>
          <w:iCs/>
        </w:rPr>
        <w:t>Reducing California’s Petroleum Dependence</w:t>
      </w:r>
      <w:r w:rsidRPr="00CD2DB5">
        <w:t xml:space="preserve">, was adopted by the CEC and CARB in 2003. The strategy recommends that California reduce on-road gasoline and diesel fuel demand to 15 percent below 2003 demand levels by 2020 and maintain that level for the foreseeable future; the Governor and Legislature work to establish national fuel economy standards that double the fuel efficiency of new cars, light trucks, and sport utility vehicles (SUVs); and increase the use of non- petroleum fuels to 20 percent of on-road fuel consumption by 2020 and 30 percent by 2030. </w:t>
      </w:r>
    </w:p>
    <w:p w:rsidR="00C31146" w:rsidRPr="00CD2DB5" w:rsidRDefault="00C31146" w:rsidP="00C31146">
      <w:pPr>
        <w:pStyle w:val="Heading4"/>
      </w:pPr>
      <w:r w:rsidRPr="00CD2DB5">
        <w:t xml:space="preserve">Governor’s Low Carbon Fuel Standard (Executive Order #S-01-07) </w:t>
      </w:r>
    </w:p>
    <w:p w:rsidR="00C31146" w:rsidRPr="00CD2DB5" w:rsidRDefault="00C31146" w:rsidP="00C31146">
      <w:r w:rsidRPr="00CD2DB5">
        <w:t xml:space="preserve">Executive Order #S-01-07 establishes a statewide goal to reduce the carbon intensity of California’s transportation fuels by at least 10 percent by 2020 through establishment of a Low Carbon Fuel Standard. The Low Carbon Fuel Standard is incorporated into the State Alternative Fuels Plan and is one of the proposed discrete early action GHG reduction measures identified by CARB pursuant to AB 32. </w:t>
      </w:r>
    </w:p>
    <w:p w:rsidR="00C31146" w:rsidRPr="00CD2DB5" w:rsidRDefault="00C31146" w:rsidP="00C31146">
      <w:pPr>
        <w:pStyle w:val="Heading4"/>
      </w:pPr>
      <w:r w:rsidRPr="00CD2DB5">
        <w:t xml:space="preserve">Senate Bill 97 (SB 97) </w:t>
      </w:r>
    </w:p>
    <w:p w:rsidR="00C31146" w:rsidRPr="00CD2DB5" w:rsidRDefault="00C31146" w:rsidP="00C31146">
      <w:r w:rsidRPr="00CD2DB5">
        <w:t xml:space="preserve">Senate Bill 97 (Chapter 185, 2007) required the Governor's Office of Planning and Research (OPR) to develop recommended amendments to the State CEQA Guidelines for addressing greenhouse </w:t>
      </w:r>
      <w:r w:rsidRPr="00CD2DB5">
        <w:lastRenderedPageBreak/>
        <w:t xml:space="preserve">gas emissions. OPR prepared its recommended amendments to the State CEQA Guidelines to provide guidance to public agencies regarding the analysis and mitigation of greenhouse gas emissions and the effects of greenhouse gas emissions in draft CEQA documents. The Amendments became effective on March 18, 2010. </w:t>
      </w:r>
    </w:p>
    <w:p w:rsidR="00C31146" w:rsidRPr="00CD2DB5" w:rsidRDefault="00C31146" w:rsidP="00C31146">
      <w:pPr>
        <w:pStyle w:val="Heading4"/>
      </w:pPr>
      <w:r w:rsidRPr="00CD2DB5">
        <w:t>Senate Bill 375</w:t>
      </w:r>
    </w:p>
    <w:p w:rsidR="00C31146" w:rsidRPr="00CD2DB5" w:rsidRDefault="00C31146" w:rsidP="00C31146">
      <w:r w:rsidRPr="00CD2DB5">
        <w:t>Sen. Bill No. 375 (Stats. 2008, ch. 728) (SB 375) was built on AB 32 (California’s 2006 climate change law). SB 375’s core provision is a requirement for regional transportation agencies to develop a Sustainable Communities Strategy (SCS) in order to reduce GHG emissions from passenger vehicles. The SCS is one component of the existing Regional Transportation Plan (RTP).</w:t>
      </w:r>
    </w:p>
    <w:p w:rsidR="00C31146" w:rsidRPr="00CD2DB5" w:rsidRDefault="00C31146" w:rsidP="00C31146">
      <w:r w:rsidRPr="00CD2DB5">
        <w:t>On July 18, 2013 the Association of Bay Area Governments (ABAG) and the Metropolitan Transportation Commission (MTC) adopted Plan Bay Area an integrated transportation and land-use strategy through 2040 that marks the nine-county region’s first long-range plan to meet the requirements of Senate Bill 375, which calls on each of the state’s 18 metropolitan areas to develop a Sustainable Communities Strategy to accommodate future population growth and reduce greenhouse gas emissions from cars and light trucks.  Working in collaboration with cities and counties, the Plan advances initiatives to expand housing and transportation choices, create healthier communities, and build a stronger regional economy.</w:t>
      </w:r>
    </w:p>
    <w:p w:rsidR="00C31146" w:rsidRPr="00616C60" w:rsidRDefault="00C31146" w:rsidP="00C31146">
      <w:r w:rsidRPr="00CD2DB5">
        <w:t xml:space="preserve">Additionally, SB 375 modified the state’s Housing Element Law to achieve consistency between the land </w:t>
      </w:r>
      <w:r w:rsidRPr="00616C60">
        <w:t>use pattern outlined in the SCS and the Regional Housing Needs Assessment allocation. The legislation also substantially improved cities’ and counties’ accountability for carrying out their housing element plans.</w:t>
      </w:r>
    </w:p>
    <w:p w:rsidR="00C31146" w:rsidRPr="00616C60" w:rsidRDefault="00C31146" w:rsidP="00C31146">
      <w:pPr>
        <w:pStyle w:val="Heading3"/>
      </w:pPr>
      <w:r w:rsidRPr="00616C60">
        <w:t xml:space="preserve">Local </w:t>
      </w:r>
    </w:p>
    <w:p w:rsidR="00C31146" w:rsidRPr="00DC751A" w:rsidRDefault="00C31146" w:rsidP="00C31146">
      <w:pPr>
        <w:pStyle w:val="Heading4"/>
      </w:pPr>
      <w:r w:rsidRPr="00616C60">
        <w:t>Cities</w:t>
      </w:r>
      <w:r>
        <w:t xml:space="preserve"> for Climate Protection Program</w:t>
      </w:r>
    </w:p>
    <w:p w:rsidR="00C31146" w:rsidRPr="00AD12C2" w:rsidRDefault="00C31146" w:rsidP="00C31146">
      <w:r w:rsidRPr="00AD12C2">
        <w:t>The City of Cotati passed Resolution 02-21 in April 2002 endorsing the Cities for Climate Protection Campaign</w:t>
      </w:r>
      <w:r>
        <w:t>,</w:t>
      </w:r>
      <w:r w:rsidRPr="00AD12C2">
        <w:t xml:space="preserve"> which includes a five</w:t>
      </w:r>
      <w:r>
        <w:t xml:space="preserve"> </w:t>
      </w:r>
      <w:r w:rsidRPr="00AD12C2">
        <w:t>milestone program to reduce greenhouse gas and air pollution emissions. The fi</w:t>
      </w:r>
      <w:r>
        <w:t>ve mile</w:t>
      </w:r>
      <w:r w:rsidRPr="00AD12C2">
        <w:t>stones are as follows:</w:t>
      </w:r>
    </w:p>
    <w:p w:rsidR="00C31146" w:rsidRPr="00AD12C2" w:rsidRDefault="00C31146" w:rsidP="00C31146">
      <w:pPr>
        <w:numPr>
          <w:ilvl w:val="0"/>
          <w:numId w:val="16"/>
        </w:numPr>
        <w:spacing w:after="0" w:line="240" w:lineRule="auto"/>
      </w:pPr>
      <w:r w:rsidRPr="00AD12C2">
        <w:t>Conduct a baseline greenhouse gas emissions inventory and forecast to determine the sources and quantity of greenhouse gas emissions in the jurisdiction;</w:t>
      </w:r>
    </w:p>
    <w:p w:rsidR="00C31146" w:rsidRPr="00AD12C2" w:rsidRDefault="00C31146" w:rsidP="00C31146">
      <w:pPr>
        <w:numPr>
          <w:ilvl w:val="0"/>
          <w:numId w:val="16"/>
        </w:numPr>
        <w:spacing w:after="0" w:line="240" w:lineRule="auto"/>
      </w:pPr>
      <w:r w:rsidRPr="00AD12C2">
        <w:t>Establish a greenhouse gas emissions reduction target;</w:t>
      </w:r>
    </w:p>
    <w:p w:rsidR="00C31146" w:rsidRPr="00AD12C2" w:rsidRDefault="00C31146" w:rsidP="00C31146">
      <w:pPr>
        <w:numPr>
          <w:ilvl w:val="0"/>
          <w:numId w:val="16"/>
        </w:numPr>
        <w:spacing w:after="0" w:line="240" w:lineRule="auto"/>
      </w:pPr>
      <w:r w:rsidRPr="00AD12C2">
        <w:t>Develop a climate action plan consisting of both existing and future actions which, when implemented, will meet the local greenhouse gas reduction target;</w:t>
      </w:r>
    </w:p>
    <w:p w:rsidR="00C31146" w:rsidRPr="00AD12C2" w:rsidRDefault="00C31146" w:rsidP="00C31146">
      <w:pPr>
        <w:numPr>
          <w:ilvl w:val="0"/>
          <w:numId w:val="16"/>
        </w:numPr>
        <w:spacing w:after="0" w:line="240" w:lineRule="auto"/>
      </w:pPr>
      <w:r w:rsidRPr="00AD12C2">
        <w:t>Implement the action plan; and</w:t>
      </w:r>
    </w:p>
    <w:p w:rsidR="00C31146" w:rsidRPr="00AD12C2" w:rsidRDefault="00C31146" w:rsidP="00C31146">
      <w:pPr>
        <w:numPr>
          <w:ilvl w:val="0"/>
          <w:numId w:val="16"/>
        </w:numPr>
        <w:spacing w:line="240" w:lineRule="auto"/>
      </w:pPr>
      <w:r w:rsidRPr="00AD12C2">
        <w:t>Monitor and report progress.</w:t>
      </w:r>
    </w:p>
    <w:p w:rsidR="00C31146" w:rsidRPr="006B3BB7" w:rsidRDefault="00C31146" w:rsidP="00C31146">
      <w:r w:rsidRPr="006B3BB7">
        <w:t>The City fulfilled these five milestones as follows:</w:t>
      </w:r>
    </w:p>
    <w:p w:rsidR="00C31146" w:rsidRPr="006B3BB7" w:rsidRDefault="00C31146" w:rsidP="00C31146">
      <w:pPr>
        <w:numPr>
          <w:ilvl w:val="0"/>
          <w:numId w:val="17"/>
        </w:numPr>
        <w:spacing w:after="0" w:line="240" w:lineRule="auto"/>
      </w:pPr>
      <w:r w:rsidRPr="006B3BB7">
        <w:t xml:space="preserve">In September 2003 </w:t>
      </w:r>
      <w:r>
        <w:t xml:space="preserve">the City reported their </w:t>
      </w:r>
      <w:r w:rsidRPr="006B3BB7">
        <w:t xml:space="preserve">municipal baseline emissions in </w:t>
      </w:r>
      <w:r w:rsidRPr="006B3BB7">
        <w:rPr>
          <w:i/>
        </w:rPr>
        <w:t>Standing Together for the Future: Greenhouse Gas Emission Inventories for Eight Cities in Sonoma County, California</w:t>
      </w:r>
      <w:r w:rsidRPr="006B3BB7">
        <w:t xml:space="preserve">. </w:t>
      </w:r>
    </w:p>
    <w:p w:rsidR="00C31146" w:rsidRPr="006B3BB7" w:rsidRDefault="00C31146" w:rsidP="00C31146">
      <w:pPr>
        <w:numPr>
          <w:ilvl w:val="0"/>
          <w:numId w:val="17"/>
        </w:numPr>
        <w:spacing w:after="0" w:line="240" w:lineRule="auto"/>
      </w:pPr>
      <w:r w:rsidRPr="006B3BB7">
        <w:lastRenderedPageBreak/>
        <w:t xml:space="preserve">In October 2004 the City passed Resolution 04-88, which adopted a goal of a 20% Reduction in Greenhouse Gas Emissions from City of Cotati Municipal Operations from 2000 to 2010. In August 2005 the City adopted Resolution 05-66 which established a community-wide reduction goal of 30 percent below 1990 levels by 2015. </w:t>
      </w:r>
    </w:p>
    <w:p w:rsidR="00C31146" w:rsidRPr="006B3BB7" w:rsidRDefault="00C31146" w:rsidP="00C31146">
      <w:pPr>
        <w:numPr>
          <w:ilvl w:val="0"/>
          <w:numId w:val="17"/>
        </w:numPr>
        <w:spacing w:after="0" w:line="240" w:lineRule="auto"/>
      </w:pPr>
      <w:r w:rsidRPr="006B3BB7">
        <w:t xml:space="preserve">In May 2008 the City finalized the City of Cotati Greenhouse Gas Emissions Reduction Action Plan </w:t>
      </w:r>
      <w:r w:rsidRPr="00EB0CCB">
        <w:t>Analysis</w:t>
      </w:r>
      <w:r w:rsidRPr="006B3BB7">
        <w:t xml:space="preserve">. </w:t>
      </w:r>
    </w:p>
    <w:p w:rsidR="00C31146" w:rsidRPr="006B3BB7" w:rsidRDefault="00C31146" w:rsidP="00C31146">
      <w:pPr>
        <w:numPr>
          <w:ilvl w:val="0"/>
          <w:numId w:val="17"/>
        </w:numPr>
        <w:spacing w:after="0" w:line="240" w:lineRule="auto"/>
      </w:pPr>
      <w:r>
        <w:t>The</w:t>
      </w:r>
      <w:r w:rsidRPr="006B3BB7">
        <w:t xml:space="preserve"> City </w:t>
      </w:r>
      <w:r>
        <w:t>continues to take actions in accordance with their plans and</w:t>
      </w:r>
      <w:r w:rsidRPr="006B3BB7">
        <w:t xml:space="preserve"> programs that support the reduction of greenhouse gas emissions. </w:t>
      </w:r>
    </w:p>
    <w:p w:rsidR="00C31146" w:rsidRPr="006B3BB7" w:rsidRDefault="00C31146" w:rsidP="00C31146">
      <w:pPr>
        <w:pStyle w:val="Heading4"/>
      </w:pPr>
      <w:r w:rsidRPr="006B3BB7">
        <w:t>City of Cotati Greenhouse Gas Emissions Reduction Acti</w:t>
      </w:r>
      <w:r>
        <w:t>on Plan Analysis</w:t>
      </w:r>
    </w:p>
    <w:p w:rsidR="00C31146" w:rsidRDefault="00C31146" w:rsidP="00C31146">
      <w:r w:rsidRPr="00611050">
        <w:t xml:space="preserve">The City of Cotati developed a Greenhouse Gas Emissions Reduction Action Plan Analysis as a way to reduce GHG emissions, reduce energy costs, address equipment problems, and reduce the uncertainty of the city’s future annual energy costs. </w:t>
      </w:r>
      <w:r>
        <w:t>During development of the Cotati Greenhouse Gas Emissions Reduction Plan Analysis, the City implemented</w:t>
      </w:r>
      <w:r w:rsidRPr="006369DF">
        <w:t xml:space="preserve"> the ICLEI program to reduce the </w:t>
      </w:r>
      <w:r>
        <w:t xml:space="preserve">GHG </w:t>
      </w:r>
      <w:r w:rsidRPr="006369DF">
        <w:t xml:space="preserve">emissions from city controlled sources. </w:t>
      </w:r>
    </w:p>
    <w:p w:rsidR="00C31146" w:rsidRPr="006369DF" w:rsidRDefault="00C31146" w:rsidP="00C31146">
      <w:r w:rsidRPr="006369DF">
        <w:t>This program has five steps, referred to as “Milestones.”</w:t>
      </w:r>
      <w:r>
        <w:t xml:space="preserve"> </w:t>
      </w:r>
      <w:r w:rsidRPr="006369DF">
        <w:t>Milestone 1, creating the GHG inventory, and Milestone 2, setting a reduction target have been</w:t>
      </w:r>
      <w:r>
        <w:t xml:space="preserve"> </w:t>
      </w:r>
      <w:r w:rsidRPr="006369DF">
        <w:t>completed. The City Council has adopted a reduction target for internal operations of 20%</w:t>
      </w:r>
      <w:r>
        <w:t xml:space="preserve"> </w:t>
      </w:r>
      <w:r w:rsidRPr="006369DF">
        <w:t xml:space="preserve">below 2000 levels by 2010. Milestone 3 requires the creation of </w:t>
      </w:r>
      <w:r>
        <w:t xml:space="preserve">a plan to meet this target. The GHG Reduction Action Plan </w:t>
      </w:r>
      <w:r w:rsidRPr="006369DF">
        <w:t>report and associated analysis provides the roadmap to satisfy Milestone 3 providing five</w:t>
      </w:r>
      <w:r>
        <w:t xml:space="preserve"> </w:t>
      </w:r>
      <w:r w:rsidRPr="006369DF">
        <w:t>measure-specific plans to reduce emissions by more than 20%. Furthermore, the framework</w:t>
      </w:r>
      <w:r>
        <w:t xml:space="preserve"> </w:t>
      </w:r>
      <w:r w:rsidRPr="006369DF">
        <w:t>associated with this material will support the City in meeting the requirements of Milestone 4</w:t>
      </w:r>
      <w:r>
        <w:t xml:space="preserve"> </w:t>
      </w:r>
      <w:r w:rsidRPr="006369DF">
        <w:t>(implementation) and Milestone 5 (monitoring and adjustment). The framework facilitates the</w:t>
      </w:r>
      <w:r>
        <w:t xml:space="preserve"> </w:t>
      </w:r>
      <w:r w:rsidRPr="006369DF">
        <w:t>integration of new and revised information, taking advantage of new opportunities and allowing</w:t>
      </w:r>
      <w:r>
        <w:t xml:space="preserve"> </w:t>
      </w:r>
      <w:r w:rsidRPr="006369DF">
        <w:t>adjustments to under performing initiatives.</w:t>
      </w:r>
    </w:p>
    <w:p w:rsidR="00C31146" w:rsidRDefault="00C31146" w:rsidP="00C31146">
      <w:r w:rsidRPr="006369DF">
        <w:t>The analysis, and resulting GHG emissions reduction plans, incorporates many opportunities in</w:t>
      </w:r>
      <w:r>
        <w:t xml:space="preserve"> </w:t>
      </w:r>
      <w:r w:rsidRPr="006369DF">
        <w:t>the various contributing sectors (Building Efficiency, Fleet, Commute, Water/Sewer,</w:t>
      </w:r>
      <w:r>
        <w:t xml:space="preserve"> </w:t>
      </w:r>
      <w:r w:rsidRPr="006369DF">
        <w:t>Streetlights, and Photovoltaic), as identified by the City Staff utilizing the best available</w:t>
      </w:r>
      <w:r>
        <w:t xml:space="preserve"> </w:t>
      </w:r>
      <w:r w:rsidRPr="006369DF">
        <w:t>information at the time of research. The results provide an emissions impact estimate for five</w:t>
      </w:r>
      <w:r>
        <w:t xml:space="preserve"> </w:t>
      </w:r>
      <w:r w:rsidRPr="006369DF">
        <w:t>plans with the corresponding financial analysis.</w:t>
      </w:r>
    </w:p>
    <w:p w:rsidR="00C31146" w:rsidRDefault="00C31146" w:rsidP="00C31146">
      <w:pPr>
        <w:pStyle w:val="Heading4"/>
      </w:pPr>
      <w:r>
        <w:t>Sonoma County Climate Action Plan 2020</w:t>
      </w:r>
    </w:p>
    <w:p w:rsidR="00447718" w:rsidRDefault="00C31146">
      <w:r w:rsidRPr="009300D0">
        <w:t xml:space="preserve">In 2005, the ten local governments within Sonoma County pledged to reduce GHG emissions </w:t>
      </w:r>
      <w:r w:rsidR="00BA5BC3">
        <w:t xml:space="preserve">community-wide </w:t>
      </w:r>
      <w:r w:rsidRPr="009300D0">
        <w:t>to 25 percent below 1990 levels by 2015</w:t>
      </w:r>
      <w:r w:rsidR="00BA5BC3">
        <w:t xml:space="preserve"> (Cotati adopted 30% by 2015, </w:t>
      </w:r>
      <w:r w:rsidR="00EC1E93">
        <w:t>R</w:t>
      </w:r>
      <w:r w:rsidR="00BA5BC3">
        <w:t>eso</w:t>
      </w:r>
      <w:r w:rsidR="00EC1E93">
        <w:t>lution</w:t>
      </w:r>
      <w:r w:rsidR="00BA5BC3">
        <w:t xml:space="preserve"> 05-66)</w:t>
      </w:r>
      <w:r w:rsidRPr="009300D0">
        <w:t>. The Regional Climate Protection Authority (RCPA) was created in 2009 to help each jurisdiction reach its goal. The RCPA includes representatives from each of the nine cities in Sonoma County and the Board of Supervisors.</w:t>
      </w:r>
    </w:p>
    <w:p w:rsidR="00447718" w:rsidRDefault="00C31146">
      <w:r w:rsidRPr="009300D0">
        <w:t xml:space="preserve">Climate Action 2020 is a collaborative effort led by the RCPA and including all nine cities and the County of Sonoma and several partner entities to take further actions to reduce GHG emissions community-wide and respond to the threats of climate change. RCPA will work with each jurisdiction to develop a Community Climate Action Plan that will provide a comprehensive </w:t>
      </w:r>
      <w:r w:rsidRPr="009300D0">
        <w:lastRenderedPageBreak/>
        <w:t xml:space="preserve">assessment of GHGs emission sources as well possible measures that jurisdictions can take to reduce GHG emissions and/or adapt to climate change to ensure their communities remain vibrant and resilient. </w:t>
      </w:r>
    </w:p>
    <w:p w:rsidR="00C31146" w:rsidRPr="00CD2DB5" w:rsidRDefault="00C31146" w:rsidP="00C31146">
      <w:pPr>
        <w:pStyle w:val="Heading4"/>
      </w:pPr>
      <w:r w:rsidRPr="00CD2DB5">
        <w:t>Green Building Standards</w:t>
      </w:r>
    </w:p>
    <w:p w:rsidR="00C31146" w:rsidRPr="00525691" w:rsidRDefault="00C31146" w:rsidP="00C31146">
      <w:r w:rsidRPr="00525691">
        <w:t xml:space="preserve">CALGreen is a set of mandatory green building standards for new construction that went into effect throughout California on January 1, 2011. </w:t>
      </w:r>
      <w:r>
        <w:t xml:space="preserve">The 2013 California Green Building Standards Code went into effect on January 1, 2014.  </w:t>
      </w:r>
      <w:r w:rsidRPr="00525691">
        <w:t xml:space="preserve">These building standards apply to all new public and privately-constructed commercial and residential buildings. CALGreen is referred to officially as the </w:t>
      </w:r>
      <w:hyperlink r:id="rId9" w:history="1">
        <w:r w:rsidRPr="00525691">
          <w:t>California Green Building Standards Code</w:t>
        </w:r>
      </w:hyperlink>
      <w:r w:rsidRPr="00525691">
        <w:t xml:space="preserve"> and includes a matrix of mandatory requirements tailored to residential and non-residential building classifications</w:t>
      </w:r>
      <w:r>
        <w:t xml:space="preserve">, as well </w:t>
      </w:r>
      <w:r w:rsidRPr="00525691">
        <w:t>as two sets of voluntary measures</w:t>
      </w:r>
      <w:r>
        <w:t xml:space="preserve"> (</w:t>
      </w:r>
      <w:r w:rsidRPr="003762F9">
        <w:t>CALGre</w:t>
      </w:r>
      <w:r>
        <w:t>en Tier 1 and Tier 2) that provide a</w:t>
      </w:r>
      <w:r w:rsidRPr="003762F9">
        <w:t xml:space="preserve"> host of more stringent sustainable building practices and features.</w:t>
      </w:r>
      <w:r>
        <w:t xml:space="preserve"> </w:t>
      </w:r>
      <w:r w:rsidRPr="00525691">
        <w:t xml:space="preserve">Among the key mandatory provisions are requirements </w:t>
      </w:r>
      <w:proofErr w:type="gramStart"/>
      <w:r w:rsidRPr="00525691">
        <w:t>that</w:t>
      </w:r>
      <w:proofErr w:type="gramEnd"/>
      <w:r w:rsidRPr="00525691">
        <w:t xml:space="preserve"> new buildings:</w:t>
      </w:r>
    </w:p>
    <w:p w:rsidR="00C31146" w:rsidRPr="009B2F40" w:rsidRDefault="00C31146" w:rsidP="00C31146">
      <w:pPr>
        <w:numPr>
          <w:ilvl w:val="0"/>
          <w:numId w:val="18"/>
        </w:numPr>
        <w:spacing w:after="0" w:line="240" w:lineRule="auto"/>
      </w:pPr>
      <w:r w:rsidRPr="009B2F40">
        <w:t>reduce indoor potable water use by at least 20% below current standards;</w:t>
      </w:r>
    </w:p>
    <w:p w:rsidR="00C31146" w:rsidRPr="009B2F40" w:rsidRDefault="00C31146" w:rsidP="00C31146">
      <w:pPr>
        <w:numPr>
          <w:ilvl w:val="0"/>
          <w:numId w:val="18"/>
        </w:numPr>
        <w:spacing w:after="0" w:line="240" w:lineRule="auto"/>
      </w:pPr>
      <w:r w:rsidRPr="009B2F40">
        <w:t>recycle or salvage at least 50% of construction waste;</w:t>
      </w:r>
    </w:p>
    <w:p w:rsidR="00C31146" w:rsidRPr="009B2F40" w:rsidRDefault="00C31146" w:rsidP="00C31146">
      <w:pPr>
        <w:numPr>
          <w:ilvl w:val="0"/>
          <w:numId w:val="18"/>
        </w:numPr>
        <w:spacing w:after="0" w:line="240" w:lineRule="auto"/>
      </w:pPr>
      <w:r w:rsidRPr="009B2F40">
        <w:t>utilize low VOC-emitting finish materials and flooring systems;</w:t>
      </w:r>
    </w:p>
    <w:p w:rsidR="00C31146" w:rsidRPr="009B2F40" w:rsidRDefault="00C31146" w:rsidP="00C31146">
      <w:pPr>
        <w:numPr>
          <w:ilvl w:val="0"/>
          <w:numId w:val="18"/>
        </w:numPr>
        <w:spacing w:after="0" w:line="240" w:lineRule="auto"/>
      </w:pPr>
      <w:r w:rsidRPr="009B2F40">
        <w:t>install separate water meters tracking non-residential buildings’ indoor and outdoor water use;</w:t>
      </w:r>
    </w:p>
    <w:p w:rsidR="00C31146" w:rsidRPr="009B2F40" w:rsidRDefault="00C31146" w:rsidP="00C31146">
      <w:pPr>
        <w:numPr>
          <w:ilvl w:val="0"/>
          <w:numId w:val="18"/>
        </w:numPr>
        <w:spacing w:after="0" w:line="240" w:lineRule="auto"/>
      </w:pPr>
      <w:r w:rsidRPr="009B2F40">
        <w:t>utilize moisture-sensing irrigation systems for larger landscape areas;</w:t>
      </w:r>
    </w:p>
    <w:p w:rsidR="00C31146" w:rsidRPr="009B2F40" w:rsidRDefault="00C31146" w:rsidP="00C31146">
      <w:pPr>
        <w:numPr>
          <w:ilvl w:val="0"/>
          <w:numId w:val="18"/>
        </w:numPr>
        <w:spacing w:after="0" w:line="240" w:lineRule="auto"/>
      </w:pPr>
      <w:r w:rsidRPr="009B2F40">
        <w:t>receive mandatory inspections by local officials of building energy systems, such as HVAC and mechanical equipment, to verify performance in accordance with specifications in non-residential buildings exceeding 10,000 square feet; and</w:t>
      </w:r>
    </w:p>
    <w:p w:rsidR="00C31146" w:rsidRPr="009B2F40" w:rsidRDefault="00C31146" w:rsidP="00C31146">
      <w:pPr>
        <w:numPr>
          <w:ilvl w:val="0"/>
          <w:numId w:val="18"/>
        </w:numPr>
        <w:spacing w:line="240" w:lineRule="auto"/>
      </w:pPr>
      <w:proofErr w:type="gramStart"/>
      <w:r w:rsidRPr="009B2F40">
        <w:t>earmark</w:t>
      </w:r>
      <w:proofErr w:type="gramEnd"/>
      <w:r w:rsidRPr="009B2F40">
        <w:t xml:space="preserve"> parking for fuel-efficient and carpool vehicles.</w:t>
      </w:r>
    </w:p>
    <w:p w:rsidR="00C31146" w:rsidRDefault="00C31146" w:rsidP="00C31146">
      <w:r w:rsidRPr="003762F9">
        <w:t xml:space="preserve">Cotati's City Council rescinded Cotati's Sustainable Building Program and replaced it with CALGreen Mandatory </w:t>
      </w:r>
      <w:r>
        <w:t xml:space="preserve">plus </w:t>
      </w:r>
      <w:r w:rsidRPr="003762F9">
        <w:t xml:space="preserve">Tier 1, which includes a detailed list of green building features </w:t>
      </w:r>
      <w:r>
        <w:t xml:space="preserve">that address </w:t>
      </w:r>
      <w:r w:rsidRPr="003762F9">
        <w:t xml:space="preserve">energy efficiency, water efficiency, waste reduction, material conservation and indoor air quality. </w:t>
      </w:r>
      <w:r>
        <w:t xml:space="preserve">The </w:t>
      </w:r>
      <w:r w:rsidRPr="003762F9">
        <w:t>requirements apply to newly constructed residential and non-residential facilities. Additions, alterations, repairs and existing structures may be subject to the requirements of CALGreen. Existing site and landscaping improvements that are not otherwise disturbed are not subject to the requirements of CALGreen.</w:t>
      </w:r>
    </w:p>
    <w:p w:rsidR="00C31146" w:rsidRPr="00041EE3" w:rsidRDefault="00C31146" w:rsidP="00C31146">
      <w:pPr>
        <w:pStyle w:val="Heading2"/>
        <w:rPr>
          <w:kern w:val="1"/>
        </w:rPr>
      </w:pPr>
      <w:r w:rsidRPr="00041EE3">
        <w:rPr>
          <w:kern w:val="1"/>
        </w:rPr>
        <w:t xml:space="preserve">3.6.3 Impacts and </w:t>
      </w:r>
      <w:r w:rsidRPr="00041EE3">
        <w:t>Mitigation</w:t>
      </w:r>
      <w:r w:rsidRPr="00041EE3">
        <w:rPr>
          <w:kern w:val="1"/>
        </w:rPr>
        <w:t xml:space="preserve"> Measures</w:t>
      </w:r>
    </w:p>
    <w:p w:rsidR="00C31146" w:rsidRPr="00041EE3" w:rsidRDefault="00C31146" w:rsidP="00C31146">
      <w:pPr>
        <w:pStyle w:val="Heading3"/>
      </w:pPr>
      <w:r w:rsidRPr="00041EE3">
        <w:t>GHG Thresholds of Significance and Methodology</w:t>
      </w:r>
    </w:p>
    <w:p w:rsidR="00C31146" w:rsidRPr="00041EE3" w:rsidRDefault="00C31146" w:rsidP="00C31146">
      <w:pPr>
        <w:pStyle w:val="Heading4"/>
      </w:pPr>
      <w:r w:rsidRPr="00041EE3">
        <w:t>Analysis Approach</w:t>
      </w:r>
    </w:p>
    <w:p w:rsidR="00C31146" w:rsidRPr="00041EE3" w:rsidRDefault="00C31146" w:rsidP="00C31146">
      <w:r w:rsidRPr="00041EE3">
        <w:t xml:space="preserve">The California Office of Planning and Research (OPR) recommends that lead agencies under CEQA make a good‐faith effort, based on available information, to estimate the quantity of GHG emissions that would be generated by a proposed project, including the emissions associated with construction activities, stationary sources, vehicular traffic, and energy consumption to determine whether the impacts have the potential to result in a significant project or cumulative environmental impact; and, where feasible mitigation is available, to mitigate any project or </w:t>
      </w:r>
      <w:r w:rsidRPr="00041EE3">
        <w:lastRenderedPageBreak/>
        <w:t>cumulative impact determined to be potentially significant.  More recently, OPR prepared amendments to the State CEQA Guidelines, pursuant to SB 97 (Statutes of 2007) for adoption by the California Natural Resources Agency. The amendments added several provisions reinforcing the requirements to assess a project’s GHG emissions as a contribution to the cumulative impact of climate change. The amendments went into effect on March 18, 2010.</w:t>
      </w:r>
    </w:p>
    <w:p w:rsidR="00C31146" w:rsidRPr="00041EE3" w:rsidRDefault="00C31146" w:rsidP="00C31146">
      <w:r w:rsidRPr="00041EE3">
        <w:t>Specifically, CEQA Guidelines Section 15064.4, as amended March 18, 2010, states:</w:t>
      </w:r>
    </w:p>
    <w:p w:rsidR="00C31146" w:rsidRPr="00041EE3" w:rsidRDefault="00C31146" w:rsidP="00C31146">
      <w:pPr>
        <w:rPr>
          <w:i/>
        </w:rPr>
      </w:pPr>
      <w:r w:rsidRPr="00041EE3">
        <w:rPr>
          <w:i/>
        </w:rPr>
        <w:t>(a) The determination of the significance of greenhouse gas emissions calls for a careful judgment by the lead agency consistent with the provisions in section 15064. A lead agency should make a good-faith effort, based to the extent possible on scientific and factual data, to describe, calculate or estimate the amount of greenhouse gas emissions resulting from a project. A lead agency shall have discretion to determine, in the context of a particular project, whether to:</w:t>
      </w:r>
    </w:p>
    <w:p w:rsidR="00C31146" w:rsidRPr="00041EE3" w:rsidRDefault="00C31146" w:rsidP="00C31146">
      <w:pPr>
        <w:ind w:left="720"/>
        <w:rPr>
          <w:i/>
        </w:rPr>
      </w:pPr>
      <w:r w:rsidRPr="00041EE3">
        <w:rPr>
          <w:i/>
        </w:rPr>
        <w:t>(1) Use a model or methodology to quantify greenhouse gas emissions resulting from a project, and which model or methodology to use. The lead agency has discretion to select the model or methodology it considers most appropriate provided it supports its decision with substantial evidence. The lead agency should explain the limitations of the particular model or methodology selected for use; and</w:t>
      </w:r>
      <w:r w:rsidRPr="00041EE3">
        <w:rPr>
          <w:b/>
          <w:bCs/>
          <w:i/>
        </w:rPr>
        <w:t>/</w:t>
      </w:r>
      <w:r w:rsidRPr="00041EE3">
        <w:rPr>
          <w:i/>
        </w:rPr>
        <w:t>or</w:t>
      </w:r>
    </w:p>
    <w:p w:rsidR="00C31146" w:rsidRPr="00041EE3" w:rsidRDefault="00C31146" w:rsidP="00C31146">
      <w:pPr>
        <w:ind w:left="720"/>
        <w:rPr>
          <w:i/>
        </w:rPr>
      </w:pPr>
      <w:r w:rsidRPr="00041EE3">
        <w:rPr>
          <w:i/>
        </w:rPr>
        <w:t>(2) Rely on a qualitative analysis or performance based standards.</w:t>
      </w:r>
    </w:p>
    <w:p w:rsidR="00C31146" w:rsidRPr="00041EE3" w:rsidRDefault="00C31146" w:rsidP="00C31146">
      <w:pPr>
        <w:rPr>
          <w:i/>
        </w:rPr>
      </w:pPr>
      <w:r w:rsidRPr="00041EE3">
        <w:rPr>
          <w:i/>
        </w:rPr>
        <w:t>(b) A lead agency should consider the following factors, among others, when assessing the significance of impacts from greenhouse gas emissions on the environment:</w:t>
      </w:r>
    </w:p>
    <w:p w:rsidR="00C31146" w:rsidRPr="00041EE3" w:rsidRDefault="00C31146" w:rsidP="00C31146">
      <w:pPr>
        <w:ind w:left="720"/>
        <w:rPr>
          <w:i/>
        </w:rPr>
      </w:pPr>
      <w:r w:rsidRPr="00041EE3">
        <w:rPr>
          <w:i/>
        </w:rPr>
        <w:t>(1) The extent to which the project may increase or reduce greenhouse gas emissions as compared to the existing environmental setting;</w:t>
      </w:r>
    </w:p>
    <w:p w:rsidR="00C31146" w:rsidRPr="00041EE3" w:rsidRDefault="00C31146" w:rsidP="00C31146">
      <w:pPr>
        <w:ind w:left="720"/>
        <w:rPr>
          <w:i/>
        </w:rPr>
      </w:pPr>
      <w:r w:rsidRPr="00041EE3">
        <w:rPr>
          <w:i/>
        </w:rPr>
        <w:t>(2) Whether the project emissions exceed a threshold of significance that the lead agency determines applies to the project.</w:t>
      </w:r>
    </w:p>
    <w:p w:rsidR="00C31146" w:rsidRPr="00041EE3" w:rsidRDefault="00C31146" w:rsidP="00C31146">
      <w:pPr>
        <w:ind w:left="720"/>
        <w:rPr>
          <w:i/>
        </w:rPr>
      </w:pPr>
      <w:r w:rsidRPr="00041EE3">
        <w:rPr>
          <w:i/>
        </w:rPr>
        <w:t>(3) The extent to which the project complies with regulations or requirements adopted to implement a statewide, regional, or local plan for the reduction or mitigation of greenhouse gas emissions. Such requirements must be adopted by the relevant public agency through a public review process and must reduce or mitigate the project’s incremental contribution of greenhouse gas emissions. If there is substantial evidence that the possible effects of a particular project are still cumulatively considerable notwithstanding compliance with the adopted regulations or requirements, an EIR must be prepared for the project.</w:t>
      </w:r>
    </w:p>
    <w:p w:rsidR="00C31146" w:rsidRPr="00041EE3" w:rsidRDefault="00EC1E93" w:rsidP="00C31146">
      <w:pPr>
        <w:pStyle w:val="Heading3"/>
      </w:pPr>
      <w:r>
        <w:br w:type="page"/>
      </w:r>
      <w:r w:rsidR="00C31146" w:rsidRPr="00041EE3">
        <w:lastRenderedPageBreak/>
        <w:t>Thresholds of Significance</w:t>
      </w:r>
    </w:p>
    <w:p w:rsidR="00C31146" w:rsidRPr="00041EE3" w:rsidRDefault="00C31146" w:rsidP="00C31146">
      <w:r w:rsidRPr="00041EE3">
        <w:t>Per Appendix G of the CEQA Guidelines, climate change-related impacts are considered significant if implementation of the proposed project under consideration would do any of the following:</w:t>
      </w:r>
    </w:p>
    <w:p w:rsidR="00C31146" w:rsidRPr="00041EE3" w:rsidRDefault="00C31146" w:rsidP="00C31146">
      <w:pPr>
        <w:numPr>
          <w:ilvl w:val="0"/>
          <w:numId w:val="4"/>
        </w:numPr>
      </w:pPr>
      <w:r w:rsidRPr="00041EE3">
        <w:t>Generate greenhouse gas emissions, either directly or indirectly, that may have a significant impact on the environment.</w:t>
      </w:r>
    </w:p>
    <w:p w:rsidR="00C31146" w:rsidRPr="00041EE3" w:rsidRDefault="00C31146" w:rsidP="00C31146">
      <w:pPr>
        <w:numPr>
          <w:ilvl w:val="0"/>
          <w:numId w:val="4"/>
        </w:numPr>
      </w:pPr>
      <w:r w:rsidRPr="00041EE3">
        <w:t xml:space="preserve">Conflict with an applicable plan, policy, or regulation adopted for the purpose of reducing the emissions of greenhouse gases.  </w:t>
      </w:r>
    </w:p>
    <w:p w:rsidR="00C31146" w:rsidRDefault="00C31146" w:rsidP="00C31146">
      <w:r w:rsidRPr="00041EE3">
        <w:t xml:space="preserve">In order to determine whether or not the proposed project would generate GHG emissions that may have a significant impact on the environment, this EIR relies on the project’s consistency with the GHG reduction </w:t>
      </w:r>
      <w:r>
        <w:t xml:space="preserve">strategies </w:t>
      </w:r>
      <w:r w:rsidRPr="00041EE3">
        <w:t xml:space="preserve">established by </w:t>
      </w:r>
      <w:r>
        <w:t xml:space="preserve">the </w:t>
      </w:r>
      <w:r w:rsidRPr="00041EE3">
        <w:t xml:space="preserve">AB 32 </w:t>
      </w:r>
      <w:r>
        <w:t xml:space="preserve">Scoping Plan </w:t>
      </w:r>
      <w:r w:rsidRPr="00041EE3">
        <w:t xml:space="preserve">and the associated guidance document prepared by the California Air Pollution Control Officers Association (CAPCOA).  In June 2009 CAPCOA published the </w:t>
      </w:r>
      <w:r w:rsidRPr="00041EE3">
        <w:rPr>
          <w:i/>
        </w:rPr>
        <w:t>Model Policies for Greenhouse Gases in General Plans</w:t>
      </w:r>
      <w:r w:rsidRPr="00041EE3">
        <w:t>.  This document includes recommended policy guidance and techniques that may be implemented by cities and counties during the preparation of general plan updates.  The incorporation of the various policy recommendations included in this document into local general plans will assist the State of California in meeting the GHG reductions goals established by AB 32.</w:t>
      </w:r>
      <w:r>
        <w:t xml:space="preserve">  The Bay Area Air Quality Management District recommends that measures from the 2009 CAPCOA publication be incorporated into general plans as an effective means of reducing GHG emissions from plan-level documents.  </w:t>
      </w:r>
    </w:p>
    <w:p w:rsidR="00C31146" w:rsidRPr="00041EE3" w:rsidRDefault="00C31146" w:rsidP="00C31146">
      <w:r w:rsidRPr="006221C7">
        <w:t xml:space="preserve">AB 32 and S-3-05 target the reduction of statewide emissions.  It should be made clear that AB 32 and S-3-05 do not specify that the emissions reductions should be achieved through uniform reduction by geographic location or by emission source characteristics.  </w:t>
      </w:r>
      <w:r>
        <w:t>The City of Cotati</w:t>
      </w:r>
      <w:r w:rsidRPr="006221C7">
        <w:t xml:space="preserve"> has determined that the establishment of a numerical threshold of significance is not appropriate for the General Plan GHG analysis.</w:t>
      </w:r>
      <w:r>
        <w:t xml:space="preserve"> </w:t>
      </w:r>
      <w:r w:rsidRPr="006221C7">
        <w:t xml:space="preserve">Consistent with the guidance provided in CEQA Guidelines Section 15064.4(a)(2), </w:t>
      </w:r>
      <w:r>
        <w:t>Cotati</w:t>
      </w:r>
      <w:r w:rsidRPr="006221C7">
        <w:t xml:space="preserve"> has prepared this EIR in a manner</w:t>
      </w:r>
      <w:r>
        <w:t xml:space="preserve"> which includes a quantification of the cumulative General Plan buildout GHG emissions before and after the implementation of mitigation measures, as well as a qualitative analysis and discussion of the General Plan’s consistency with AB 32 and the associated guidance document prepared by the California Air Pollution Control Officers Association (CAPCOA).</w:t>
      </w:r>
    </w:p>
    <w:p w:rsidR="00C31146" w:rsidRPr="00FE5260" w:rsidRDefault="00C31146" w:rsidP="00C31146">
      <w:pPr>
        <w:pStyle w:val="Heading3"/>
      </w:pPr>
      <w:r w:rsidRPr="00FE5260">
        <w:t>GHG Impacts and Mitigation Measures</w:t>
      </w:r>
    </w:p>
    <w:p w:rsidR="00C31146" w:rsidRPr="00FE5260" w:rsidRDefault="00C31146" w:rsidP="00C31146">
      <w:pPr>
        <w:pStyle w:val="Heading4"/>
      </w:pPr>
      <w:r w:rsidRPr="00FE5260">
        <w:t>Impact 3.6-1: General Plan implementation could generate GHGs, either directly or indirectly, that may have a significant effect on the environment (</w:t>
      </w:r>
      <w:r w:rsidRPr="00FE5260">
        <w:rPr>
          <w:lang w:val="en-US"/>
        </w:rPr>
        <w:t>L</w:t>
      </w:r>
      <w:r w:rsidRPr="00FE5260">
        <w:t xml:space="preserve">ess than </w:t>
      </w:r>
      <w:r w:rsidRPr="00FE5260">
        <w:rPr>
          <w:lang w:val="en-US"/>
        </w:rPr>
        <w:t>S</w:t>
      </w:r>
      <w:r w:rsidRPr="00FE5260">
        <w:t>ignificant)</w:t>
      </w:r>
    </w:p>
    <w:p w:rsidR="00C31146" w:rsidRDefault="00C31146" w:rsidP="00C31146">
      <w:r w:rsidRPr="00FE5260">
        <w:t>Implementation of the 2013 General Plan would not</w:t>
      </w:r>
      <w:r>
        <w:t xml:space="preserve"> directly result in the creation of GHG emissions.  However, subsequent development allowed under the General Plan would result in new projects that would increase GHG emissions in the Cotati Planning Area.  </w:t>
      </w:r>
    </w:p>
    <w:p w:rsidR="00C31146" w:rsidRDefault="00C31146" w:rsidP="00C31146">
      <w:r>
        <w:lastRenderedPageBreak/>
        <w:t xml:space="preserve">There are a variety of ways in which a general plan could contribute to climate change and result in the generation of GHGs.  Sprawling land use patterns that place residences far from employment and retail centers can result in increased vehicle miles traveled (VMT), which increase GHG generation.  The conversion of forest lands and open space areas into urbanized uses removes vegetation and trees that have positive carbon sequestration value.  Imbalances between local jobs and housing can result in increased commute times and increased VMT associated with longer travel distances between home and work.  </w:t>
      </w:r>
    </w:p>
    <w:p w:rsidR="00C31146" w:rsidRDefault="00C31146" w:rsidP="00C31146">
      <w:r>
        <w:t xml:space="preserve">CAPCOA has identified a number of key opportunities related to each mandatory element of a general plan, as well as optional elements of a general plan, that may assist in a reduction GHG emissions associated with land use planning decisions and general plan implementation.  These key policy recommendations are summarized below, and are followed by a list of policies and action items contained in the 2013 Cotati General Plan that support or implement these recommendations.  It is important to note that the CAPCOA recommendations are not mandatory, and were developed to be general enough to apply to different local agencies throughout California, therefore, not all of the recommendations would necessarily apply to, or be appropriate for, Cotati.  </w:t>
      </w:r>
    </w:p>
    <w:p w:rsidR="00C31146" w:rsidRDefault="00C31146" w:rsidP="00C31146">
      <w:pPr>
        <w:pStyle w:val="Heading5"/>
      </w:pPr>
      <w:r>
        <w:t>CAPCOA General Plan Recommendations</w:t>
      </w:r>
    </w:p>
    <w:p w:rsidR="00447718" w:rsidRDefault="00C31146">
      <w:pPr>
        <w:pStyle w:val="ColorfulList-Accent11"/>
        <w:numPr>
          <w:ilvl w:val="0"/>
          <w:numId w:val="19"/>
        </w:numPr>
      </w:pPr>
      <w:r w:rsidRPr="00AE0BAE">
        <w:t>Foster land use intensity near, along with connectivity to, retail and</w:t>
      </w:r>
      <w:r>
        <w:t xml:space="preserve"> </w:t>
      </w:r>
      <w:r w:rsidRPr="00AE0BAE">
        <w:t>employment centers and service</w:t>
      </w:r>
      <w:r>
        <w:t>s to reduce vehicle miles trave</w:t>
      </w:r>
      <w:r w:rsidRPr="00AE0BAE">
        <w:t>led and</w:t>
      </w:r>
      <w:r>
        <w:t xml:space="preserve"> </w:t>
      </w:r>
      <w:r w:rsidRPr="00AE0BAE">
        <w:t>increase the efficiency of delivery of services through adoption and</w:t>
      </w:r>
      <w:r>
        <w:t xml:space="preserve"> </w:t>
      </w:r>
      <w:r w:rsidRPr="00AE0BAE">
        <w:t>implementation of smart growth principles and policies;</w:t>
      </w:r>
    </w:p>
    <w:p w:rsidR="00447718" w:rsidRDefault="00C31146">
      <w:pPr>
        <w:pStyle w:val="ColorfulList-Accent11"/>
        <w:numPr>
          <w:ilvl w:val="0"/>
          <w:numId w:val="19"/>
        </w:numPr>
      </w:pPr>
      <w:r w:rsidRPr="00AE0BAE">
        <w:t>Improve the local jobs/housing balanc</w:t>
      </w:r>
      <w:r>
        <w:t>e to reduce vehicle miles trave</w:t>
      </w:r>
      <w:r w:rsidRPr="00AE0BAE">
        <w:t>led;</w:t>
      </w:r>
    </w:p>
    <w:p w:rsidR="00447718" w:rsidRDefault="00C31146">
      <w:pPr>
        <w:pStyle w:val="ColorfulList-Accent11"/>
        <w:numPr>
          <w:ilvl w:val="0"/>
          <w:numId w:val="19"/>
        </w:numPr>
      </w:pPr>
      <w:r w:rsidRPr="00AE0BAE">
        <w:t>Zone for appropriate mixed use development to encourage walking and</w:t>
      </w:r>
      <w:r>
        <w:t xml:space="preserve"> </w:t>
      </w:r>
      <w:r w:rsidRPr="00AE0BAE">
        <w:t>bicycling for short trips, rather than vehicles;</w:t>
      </w:r>
    </w:p>
    <w:p w:rsidR="00447718" w:rsidRDefault="00C31146">
      <w:pPr>
        <w:pStyle w:val="ColorfulList-Accent11"/>
        <w:numPr>
          <w:ilvl w:val="0"/>
          <w:numId w:val="19"/>
        </w:numPr>
      </w:pPr>
      <w:r w:rsidRPr="00AE0BAE">
        <w:t>Link residential and commercial development to transit facilities;</w:t>
      </w:r>
    </w:p>
    <w:p w:rsidR="00447718" w:rsidRDefault="00C31146">
      <w:pPr>
        <w:pStyle w:val="ColorfulList-Accent11"/>
        <w:numPr>
          <w:ilvl w:val="0"/>
          <w:numId w:val="19"/>
        </w:numPr>
      </w:pPr>
      <w:r w:rsidRPr="00AE0BAE">
        <w:t>Reduce parking requirements to facilitate higher density development that</w:t>
      </w:r>
      <w:r>
        <w:t xml:space="preserve"> </w:t>
      </w:r>
      <w:r w:rsidRPr="00AE0BAE">
        <w:t>fosters access by walking, biking and public transit;</w:t>
      </w:r>
    </w:p>
    <w:p w:rsidR="00447718" w:rsidRDefault="00C31146">
      <w:pPr>
        <w:pStyle w:val="ColorfulList-Accent11"/>
        <w:numPr>
          <w:ilvl w:val="0"/>
          <w:numId w:val="19"/>
        </w:numPr>
      </w:pPr>
      <w:r w:rsidRPr="00AE0BAE">
        <w:t>Identify potential sites for renewable energy facilities and transmission lines;</w:t>
      </w:r>
    </w:p>
    <w:p w:rsidR="00447718" w:rsidRDefault="00C31146">
      <w:pPr>
        <w:pStyle w:val="ColorfulList-Accent11"/>
        <w:numPr>
          <w:ilvl w:val="0"/>
          <w:numId w:val="19"/>
        </w:numPr>
      </w:pPr>
      <w:r w:rsidRPr="00AE0BAE">
        <w:t>Promote recycling to reduce w</w:t>
      </w:r>
      <w:r>
        <w:t xml:space="preserve">aste and energy consumption; </w:t>
      </w:r>
    </w:p>
    <w:p w:rsidR="00447718" w:rsidRDefault="00C31146">
      <w:pPr>
        <w:pStyle w:val="ColorfulList-Accent11"/>
        <w:numPr>
          <w:ilvl w:val="0"/>
          <w:numId w:val="19"/>
        </w:numPr>
      </w:pPr>
      <w:r w:rsidRPr="00AE0BAE">
        <w:t>Identify appropriate sites for waste recovery facilities to minimize escape of</w:t>
      </w:r>
      <w:r>
        <w:t xml:space="preserve"> GHGs;</w:t>
      </w:r>
    </w:p>
    <w:p w:rsidR="00447718" w:rsidRDefault="00C31146">
      <w:pPr>
        <w:pStyle w:val="ColorfulList-Accent11"/>
        <w:numPr>
          <w:ilvl w:val="0"/>
          <w:numId w:val="19"/>
        </w:numPr>
      </w:pPr>
      <w:r w:rsidRPr="003E41B2">
        <w:t>Conserve natural lands for carbon sequestration;</w:t>
      </w:r>
    </w:p>
    <w:p w:rsidR="00447718" w:rsidRDefault="00C31146">
      <w:pPr>
        <w:pStyle w:val="ColorfulList-Accent11"/>
        <w:numPr>
          <w:ilvl w:val="0"/>
          <w:numId w:val="19"/>
        </w:numPr>
      </w:pPr>
      <w:r w:rsidRPr="003E41B2">
        <w:t>Identify lands suitable for wind power generation;</w:t>
      </w:r>
    </w:p>
    <w:p w:rsidR="00447718" w:rsidRDefault="00C31146">
      <w:pPr>
        <w:pStyle w:val="ColorfulList-Accent11"/>
        <w:numPr>
          <w:ilvl w:val="0"/>
          <w:numId w:val="19"/>
        </w:numPr>
      </w:pPr>
      <w:r w:rsidRPr="003E41B2">
        <w:t>Conserve water to promote energy efficiency;</w:t>
      </w:r>
    </w:p>
    <w:p w:rsidR="00447718" w:rsidRDefault="00C31146">
      <w:pPr>
        <w:pStyle w:val="ColorfulList-Accent11"/>
        <w:numPr>
          <w:ilvl w:val="0"/>
          <w:numId w:val="19"/>
        </w:numPr>
      </w:pPr>
      <w:r w:rsidRPr="003E41B2">
        <w:t>Promote r</w:t>
      </w:r>
      <w:r>
        <w:t xml:space="preserve">ecycling and waste recovery; </w:t>
      </w:r>
    </w:p>
    <w:p w:rsidR="00447718" w:rsidRDefault="00C31146">
      <w:pPr>
        <w:pStyle w:val="ColorfulList-Accent11"/>
        <w:numPr>
          <w:ilvl w:val="0"/>
          <w:numId w:val="19"/>
        </w:numPr>
      </w:pPr>
      <w:r w:rsidRPr="003E41B2">
        <w:t>Promote urban forestr</w:t>
      </w:r>
      <w:r>
        <w:t>y and reforestation as feasible;</w:t>
      </w:r>
    </w:p>
    <w:p w:rsidR="00447718" w:rsidRDefault="00C31146">
      <w:pPr>
        <w:pStyle w:val="ColorfulList-Accent11"/>
        <w:numPr>
          <w:ilvl w:val="0"/>
          <w:numId w:val="19"/>
        </w:numPr>
      </w:pPr>
      <w:r w:rsidRPr="00F43CCE">
        <w:t>Identify and prioritize infrastructure improvements needed to support increased use of alternatives to private vehicle travel, including transit, bicycle, and pedestrian modes;</w:t>
      </w:r>
    </w:p>
    <w:p w:rsidR="00447718" w:rsidRDefault="00C31146">
      <w:pPr>
        <w:pStyle w:val="ColorfulList-Accent11"/>
        <w:numPr>
          <w:ilvl w:val="0"/>
          <w:numId w:val="19"/>
        </w:numPr>
      </w:pPr>
      <w:r w:rsidRPr="00F43CCE">
        <w:t>Coordinate with adjacent municipalities, transit providers, and regional transportation planning agencies to develop mutual policies and funding mechanisms to increase the use of alternative transportation;</w:t>
      </w:r>
    </w:p>
    <w:p w:rsidR="00447718" w:rsidRDefault="00C31146">
      <w:pPr>
        <w:pStyle w:val="ColorfulList-Accent11"/>
        <w:numPr>
          <w:ilvl w:val="0"/>
          <w:numId w:val="19"/>
        </w:numPr>
      </w:pPr>
      <w:r w:rsidRPr="00F43CCE">
        <w:lastRenderedPageBreak/>
        <w:t>Establish higher priorities for transit funding relative to street and road construction and maintenance;</w:t>
      </w:r>
    </w:p>
    <w:p w:rsidR="00447718" w:rsidRDefault="00C31146">
      <w:pPr>
        <w:pStyle w:val="ColorfulList-Accent11"/>
        <w:numPr>
          <w:ilvl w:val="0"/>
          <w:numId w:val="19"/>
        </w:numPr>
      </w:pPr>
      <w:r w:rsidRPr="00F43CCE">
        <w:t>Incorporate “Complete Streets” policies that foster equal access by all users, including pedestrians and bicyclists;</w:t>
      </w:r>
    </w:p>
    <w:p w:rsidR="00447718" w:rsidRDefault="00C31146">
      <w:pPr>
        <w:pStyle w:val="ColorfulList-Accent11"/>
        <w:numPr>
          <w:ilvl w:val="0"/>
          <w:numId w:val="19"/>
        </w:numPr>
      </w:pPr>
      <w:r w:rsidRPr="00F43CCE">
        <w:t>Promote linkages between development locations and transportation facilities;</w:t>
      </w:r>
    </w:p>
    <w:p w:rsidR="00447718" w:rsidRDefault="00C31146">
      <w:pPr>
        <w:pStyle w:val="ColorfulList-Accent11"/>
        <w:numPr>
          <w:ilvl w:val="0"/>
          <w:numId w:val="19"/>
        </w:numPr>
      </w:pPr>
      <w:r w:rsidRPr="00F43CCE">
        <w:t>Preserve transportation corridors for renewable energy transmission and for new transit lines;</w:t>
      </w:r>
    </w:p>
    <w:p w:rsidR="00447718" w:rsidRDefault="00C31146">
      <w:pPr>
        <w:pStyle w:val="ColorfulList-Accent11"/>
        <w:numPr>
          <w:ilvl w:val="0"/>
          <w:numId w:val="19"/>
        </w:numPr>
      </w:pPr>
      <w:r w:rsidRPr="00F43CCE">
        <w:t>Identify appropriate locations for intermo</w:t>
      </w:r>
      <w:r>
        <w:t xml:space="preserve">dal transportation stations; </w:t>
      </w:r>
    </w:p>
    <w:p w:rsidR="00447718" w:rsidRDefault="00C31146">
      <w:pPr>
        <w:pStyle w:val="ColorfulList-Accent11"/>
        <w:numPr>
          <w:ilvl w:val="0"/>
          <w:numId w:val="19"/>
        </w:numPr>
      </w:pPr>
      <w:r w:rsidRPr="00F43CCE">
        <w:t>Identify opportunities, in cooperation with transit providers, to provide financing for tra</w:t>
      </w:r>
      <w:r>
        <w:t>nsit operations and maintenance;</w:t>
      </w:r>
    </w:p>
    <w:p w:rsidR="00447718" w:rsidRDefault="00C31146">
      <w:pPr>
        <w:pStyle w:val="ColorfulList-Accent11"/>
        <w:numPr>
          <w:ilvl w:val="0"/>
          <w:numId w:val="19"/>
        </w:numPr>
      </w:pPr>
      <w:r w:rsidRPr="00F43CCE">
        <w:t>Identify existing and potential future urban growth boundaries to limit sprawling development patterns and foster a more compact urban form;</w:t>
      </w:r>
    </w:p>
    <w:p w:rsidR="00447718" w:rsidRDefault="00C31146">
      <w:pPr>
        <w:pStyle w:val="ColorfulList-Accent11"/>
        <w:numPr>
          <w:ilvl w:val="0"/>
          <w:numId w:val="19"/>
        </w:numPr>
      </w:pPr>
      <w:r w:rsidRPr="00F43CCE">
        <w:t xml:space="preserve">Conserve natural lands for carbon sequestration; </w:t>
      </w:r>
    </w:p>
    <w:p w:rsidR="00447718" w:rsidRDefault="00C31146">
      <w:pPr>
        <w:pStyle w:val="ColorfulList-Accent11"/>
        <w:numPr>
          <w:ilvl w:val="0"/>
          <w:numId w:val="19"/>
        </w:numPr>
      </w:pPr>
      <w:r w:rsidRPr="00F43CCE">
        <w:t>Promote trail systems to facilitate bicycle and pedestrian trips in lieu of vehicle travel;</w:t>
      </w:r>
    </w:p>
    <w:p w:rsidR="00447718" w:rsidRDefault="00C31146">
      <w:pPr>
        <w:pStyle w:val="ColorfulList-Accent11"/>
        <w:numPr>
          <w:ilvl w:val="0"/>
          <w:numId w:val="19"/>
        </w:numPr>
      </w:pPr>
      <w:r w:rsidRPr="00F43CCE">
        <w:t>Identify sites for higher density housing closer to employment centers, retail and services, and transit facilities;</w:t>
      </w:r>
    </w:p>
    <w:p w:rsidR="00447718" w:rsidRDefault="00C31146">
      <w:pPr>
        <w:pStyle w:val="ColorfulList-Accent11"/>
        <w:numPr>
          <w:ilvl w:val="0"/>
          <w:numId w:val="19"/>
        </w:numPr>
      </w:pPr>
      <w:r w:rsidRPr="00F43CCE">
        <w:t>Identify sites for affordable housing for workers close to employment centers;</w:t>
      </w:r>
    </w:p>
    <w:p w:rsidR="00447718" w:rsidRDefault="00C31146">
      <w:pPr>
        <w:pStyle w:val="ColorfulList-Accent11"/>
        <w:numPr>
          <w:ilvl w:val="0"/>
          <w:numId w:val="19"/>
        </w:numPr>
      </w:pPr>
      <w:r w:rsidRPr="00F43CCE">
        <w:t xml:space="preserve">Establish or support programs to assist in the energy-efficient retrofitting of older affordable housing units; </w:t>
      </w:r>
    </w:p>
    <w:p w:rsidR="00447718" w:rsidRDefault="00C31146">
      <w:pPr>
        <w:pStyle w:val="ColorfulList-Accent11"/>
        <w:numPr>
          <w:ilvl w:val="0"/>
          <w:numId w:val="19"/>
        </w:numPr>
      </w:pPr>
      <w:r w:rsidRPr="00F43CCE">
        <w:t>Balance additional upfront costs for energy efficiency and affordable housing economic considerations by providing or supporting programs to finance energy-efficient housing;</w:t>
      </w:r>
    </w:p>
    <w:p w:rsidR="00447718" w:rsidRDefault="00C31146">
      <w:pPr>
        <w:pStyle w:val="ColorfulList-Accent11"/>
        <w:numPr>
          <w:ilvl w:val="0"/>
          <w:numId w:val="19"/>
        </w:numPr>
      </w:pPr>
      <w:r w:rsidRPr="00F93E01">
        <w:t>Energy-efficiency requirements for residential, commercial, and industrial construction under local jurisdiction that exceed current standards;</w:t>
      </w:r>
    </w:p>
    <w:p w:rsidR="00447718" w:rsidRDefault="00C31146">
      <w:pPr>
        <w:pStyle w:val="ColorfulList-Accent11"/>
        <w:numPr>
          <w:ilvl w:val="0"/>
          <w:numId w:val="19"/>
        </w:numPr>
      </w:pPr>
      <w:r w:rsidRPr="00F93E01">
        <w:t>Facilitate residential and commercial renewable energy facilities (solar array installations, individual wind energy generators, etc.);</w:t>
      </w:r>
    </w:p>
    <w:p w:rsidR="00447718" w:rsidRDefault="00C31146">
      <w:pPr>
        <w:pStyle w:val="ColorfulList-Accent11"/>
        <w:numPr>
          <w:ilvl w:val="0"/>
          <w:numId w:val="19"/>
        </w:numPr>
      </w:pPr>
      <w:r w:rsidRPr="00F93E01">
        <w:t>Promote cogeneration facilities for combined heating and electricity;</w:t>
      </w:r>
    </w:p>
    <w:p w:rsidR="00447718" w:rsidRDefault="00C31146">
      <w:pPr>
        <w:pStyle w:val="ColorfulList-Accent11"/>
        <w:numPr>
          <w:ilvl w:val="0"/>
          <w:numId w:val="19"/>
        </w:numPr>
      </w:pPr>
      <w:r w:rsidRPr="00F93E01">
        <w:t>Facilitate renewable energy facilities and transmission line siting;</w:t>
      </w:r>
    </w:p>
    <w:p w:rsidR="00447718" w:rsidRDefault="00C31146">
      <w:pPr>
        <w:pStyle w:val="ColorfulList-Accent11"/>
        <w:numPr>
          <w:ilvl w:val="0"/>
          <w:numId w:val="19"/>
        </w:numPr>
      </w:pPr>
      <w:r w:rsidRPr="00F93E01">
        <w:t>Establish energy-efficiency standards for public facilities;</w:t>
      </w:r>
    </w:p>
    <w:p w:rsidR="00447718" w:rsidRDefault="00C31146">
      <w:pPr>
        <w:pStyle w:val="ColorfulList-Accent11"/>
        <w:numPr>
          <w:ilvl w:val="0"/>
          <w:numId w:val="19"/>
        </w:numPr>
      </w:pPr>
      <w:r w:rsidRPr="00F93E01">
        <w:t>Incorporate urban design principles that promote higher residential densities in attractive forms with easily accessible parks and recreation opportunities nearby;</w:t>
      </w:r>
    </w:p>
    <w:p w:rsidR="00447718" w:rsidRDefault="00C31146">
      <w:pPr>
        <w:pStyle w:val="ColorfulList-Accent11"/>
        <w:numPr>
          <w:ilvl w:val="0"/>
          <w:numId w:val="19"/>
        </w:numPr>
      </w:pPr>
      <w:r w:rsidRPr="00F93E01">
        <w:t>Use urban design standards to facilitate clustered, higher-density, mixed use communities with greater potential for transit ridership, alternatives to vehicle travel, and shorter trips;</w:t>
      </w:r>
    </w:p>
    <w:p w:rsidR="00447718" w:rsidRDefault="00C31146">
      <w:pPr>
        <w:pStyle w:val="ColorfulList-Accent11"/>
        <w:numPr>
          <w:ilvl w:val="0"/>
          <w:numId w:val="19"/>
        </w:numPr>
      </w:pPr>
      <w:r w:rsidRPr="00F93E01">
        <w:t>Establish policies and design principles to incorporate inviting public spaces in high density, mixed use communities;</w:t>
      </w:r>
    </w:p>
    <w:p w:rsidR="00447718" w:rsidRDefault="00C31146">
      <w:pPr>
        <w:pStyle w:val="ColorfulList-Accent11"/>
        <w:numPr>
          <w:ilvl w:val="0"/>
          <w:numId w:val="19"/>
        </w:numPr>
      </w:pPr>
      <w:r w:rsidRPr="00F93E01">
        <w:t>Incorporate “Complete Streets” policies that foster equal access by all users, including pedestrians and bicyclists;</w:t>
      </w:r>
    </w:p>
    <w:p w:rsidR="00447718" w:rsidRDefault="00C31146">
      <w:pPr>
        <w:pStyle w:val="ColorfulList-Accent11"/>
        <w:numPr>
          <w:ilvl w:val="0"/>
          <w:numId w:val="19"/>
        </w:numPr>
      </w:pPr>
      <w:r w:rsidRPr="00F93E01">
        <w:t>Promote water-efficient and energy-efficient housing and commercial areas;</w:t>
      </w:r>
    </w:p>
    <w:p w:rsidR="00447718" w:rsidRDefault="00C31146">
      <w:pPr>
        <w:pStyle w:val="ColorfulList-Accent11"/>
        <w:numPr>
          <w:ilvl w:val="0"/>
          <w:numId w:val="19"/>
        </w:numPr>
      </w:pPr>
      <w:r w:rsidRPr="00AE5278">
        <w:t xml:space="preserve">Incorporate water conservation measures for municipal operations and throughout the community to reduce GHG emissions from pumping and water delivery; </w:t>
      </w:r>
    </w:p>
    <w:p w:rsidR="00447718" w:rsidRDefault="00C31146">
      <w:pPr>
        <w:pStyle w:val="ColorfulList-Accent11"/>
        <w:numPr>
          <w:ilvl w:val="0"/>
          <w:numId w:val="19"/>
        </w:numPr>
      </w:pPr>
      <w:r w:rsidRPr="00AE5278">
        <w:t>Adopt policies and standards to facilitate water recycling for use on landscaping, agricultural operations, and other applications where potable water is not required, to reduce pumping-related GHG emissions;</w:t>
      </w:r>
    </w:p>
    <w:p w:rsidR="00447718" w:rsidRDefault="00C31146">
      <w:pPr>
        <w:pStyle w:val="ColorfulList-Accent11"/>
        <w:numPr>
          <w:ilvl w:val="0"/>
          <w:numId w:val="19"/>
        </w:numPr>
      </w:pPr>
      <w:r w:rsidRPr="003609EF">
        <w:lastRenderedPageBreak/>
        <w:t>Establishment of minimum parcel sizes for agricultural lands outside of Agricultural Preserves and restrictions on non-agriculture related development and uses on agricultural parcels to enhance the viability of local agriculture and prevent additional sprawl development that increases dependence on and emissions from private vehicles;</w:t>
      </w:r>
    </w:p>
    <w:p w:rsidR="00447718" w:rsidRDefault="00C31146">
      <w:pPr>
        <w:pStyle w:val="ColorfulList-Accent11"/>
        <w:numPr>
          <w:ilvl w:val="0"/>
          <w:numId w:val="19"/>
        </w:numPr>
      </w:pPr>
      <w:r w:rsidRPr="003609EF">
        <w:t>Development of policies and incentives (e.g., carbon credit programs) to promote voluntary preservation of farmland for carbon sink purposes;</w:t>
      </w:r>
    </w:p>
    <w:p w:rsidR="00447718" w:rsidRDefault="00C31146">
      <w:pPr>
        <w:pStyle w:val="ColorfulList-Accent11"/>
        <w:numPr>
          <w:ilvl w:val="0"/>
          <w:numId w:val="19"/>
        </w:numPr>
      </w:pPr>
      <w:r w:rsidRPr="003609EF">
        <w:t>Adoption of policies and programs that facilitate local farmers markets and farmer co-ops that allow residents to purchase local farm goods and reduce emissions from transportation of agricultural products; and</w:t>
      </w:r>
    </w:p>
    <w:p w:rsidR="00447718" w:rsidRDefault="00C31146">
      <w:pPr>
        <w:pStyle w:val="ColorfulList-Accent11"/>
        <w:numPr>
          <w:ilvl w:val="0"/>
          <w:numId w:val="19"/>
        </w:numPr>
      </w:pPr>
      <w:r w:rsidRPr="003609EF">
        <w:t>Support for agricultural industries that reduce the need to move agricultural products long distances for processing or packaging.</w:t>
      </w:r>
    </w:p>
    <w:p w:rsidR="00C31146" w:rsidRDefault="00C31146" w:rsidP="00C31146">
      <w:r>
        <w:t>The CAPCOA recommendations listed above are grounded in the principles of developing compact communities with a mix of land uses, providing a range of alternative transportation opportunities, conserving areas of open space lands, including agricultural lands, conserving water resources, and reducing energy consumption.</w:t>
      </w:r>
    </w:p>
    <w:p w:rsidR="00C31146" w:rsidRPr="003609EF" w:rsidRDefault="00C31146" w:rsidP="00C31146">
      <w:r>
        <w:t xml:space="preserve">The 2013 Cotati General Plan was developed with extensive input from the community.  The core themes expressed by the community for inclusion in the General Plan closely mirror the policy priorities established by CAPCOA and AB 32.  </w:t>
      </w:r>
    </w:p>
    <w:p w:rsidR="00C31146" w:rsidRDefault="00C31146" w:rsidP="00C31146">
      <w:r w:rsidRPr="00F67B4C">
        <w:t xml:space="preserve">In order to determine if the proposed project would generate GHGs that may have a significant effect on the environment, the City of Cotati has relied on the proposed project’s consistency with previously adopted plans and programs aimed at reducing GHG levels both locally and regionally.  In California, the primary legislation related to statewide GHG reduction targets is AB 32, which calls for reducing statewide GHG emissions to 1990 levels by 2020.  </w:t>
      </w:r>
    </w:p>
    <w:p w:rsidR="00C31146" w:rsidRDefault="00C31146" w:rsidP="00C31146">
      <w:r>
        <w:t>The City of Cotati participates in the Sonoma County Regional Climate Protection Authority (RCPA).  The RCPA was created in 2009 to improve coordination on climate change issues and establish a clearinghouse for efforts to reduce greenhouse gas (GHG) emissions. The RCPA is made up of the same Board of Directors as the SCTA and includes representatives from each of the nine cities in Sonoma County (including Cotati) and the Sonoma County Board of Supervisors.</w:t>
      </w:r>
    </w:p>
    <w:p w:rsidR="00C31146" w:rsidRPr="00934F74" w:rsidRDefault="00C31146" w:rsidP="00C31146">
      <w:r>
        <w:t xml:space="preserve">The RCPA has completed and published the </w:t>
      </w:r>
      <w:hyperlink r:id="rId10" w:tgtFrame="_blank" w:history="1">
        <w:r w:rsidRPr="00041EE3">
          <w:t>Community Climate Action Plan (CCAP)</w:t>
        </w:r>
      </w:hyperlink>
      <w:r>
        <w:t>, which recommends regional solutions to reduce emissions from buildings, transportation, the electrical grid, agriculture, forestry, and solid waste.  As described in the CCAP, i</w:t>
      </w:r>
      <w:r w:rsidRPr="003B360D">
        <w:t>mplementation of all major quantified</w:t>
      </w:r>
      <w:r>
        <w:t xml:space="preserve"> GHG reduction </w:t>
      </w:r>
      <w:r w:rsidRPr="003B360D">
        <w:t xml:space="preserve">solutions </w:t>
      </w:r>
      <w:r>
        <w:t xml:space="preserve">identified in the CCAP </w:t>
      </w:r>
      <w:r w:rsidRPr="003B360D">
        <w:t xml:space="preserve">will </w:t>
      </w:r>
      <w:r>
        <w:t xml:space="preserve">achieve a </w:t>
      </w:r>
      <w:r w:rsidRPr="003B360D">
        <w:t xml:space="preserve">22 percent reduction below 1990 GHG levels, which is approximately 37 percent below business as usual GHG projections.  These reduction targets are comparable to, and consistent with, the </w:t>
      </w:r>
      <w:r w:rsidRPr="00934F74">
        <w:t xml:space="preserve">goals established by AB 32.  </w:t>
      </w:r>
      <w:r>
        <w:t xml:space="preserve">The RCPA is currently in the process of preparing the Climate Action Plan 2020, which is a collaborative effort amount the 10 jurisdictions in Sonoma County to take a regional approach to further actions in reducing GHG emissions community-wide.  Adoption of the Climate Action Plan 2020 is currently estimated to occur in early 2015.  </w:t>
      </w:r>
    </w:p>
    <w:p w:rsidR="00C31146" w:rsidRPr="00934F74" w:rsidRDefault="00C31146" w:rsidP="00C31146">
      <w:r w:rsidRPr="00934F74">
        <w:lastRenderedPageBreak/>
        <w:t>The California Emission Estimator Model (CalEEMod</w:t>
      </w:r>
      <w:proofErr w:type="gramStart"/>
      <w:r w:rsidRPr="00934F74">
        <w:t>)</w:t>
      </w:r>
      <w:r w:rsidRPr="00934F74">
        <w:rPr>
          <w:vertAlign w:val="superscript"/>
        </w:rPr>
        <w:t>TM</w:t>
      </w:r>
      <w:proofErr w:type="gramEnd"/>
      <w:r>
        <w:t xml:space="preserve"> (v.2013</w:t>
      </w:r>
      <w:r w:rsidRPr="00934F74">
        <w:t>.</w:t>
      </w:r>
      <w:r>
        <w:t>2.2</w:t>
      </w:r>
      <w:r w:rsidRPr="00934F74">
        <w:t>) was used to estimate project-level operational GHG emissions associated with full buildout of the Cotati Planning Area.  GHG emissions generated by buildout of the General Plan Land Use Map would consist primarily of CO</w:t>
      </w:r>
      <w:r w:rsidRPr="00934F74">
        <w:rPr>
          <w:vertAlign w:val="subscript"/>
        </w:rPr>
        <w:t>2</w:t>
      </w:r>
      <w:r w:rsidRPr="00934F74">
        <w:t xml:space="preserve"> emissions, with very limited quantities of methane (CH</w:t>
      </w:r>
      <w:r w:rsidRPr="00934F74">
        <w:rPr>
          <w:vertAlign w:val="subscript"/>
        </w:rPr>
        <w:t>4</w:t>
      </w:r>
      <w:r w:rsidRPr="00934F74">
        <w:t>) also generated. Carbon dioxide equivalents (CO</w:t>
      </w:r>
      <w:r w:rsidRPr="00934F74">
        <w:rPr>
          <w:vertAlign w:val="subscript"/>
        </w:rPr>
        <w:t>2</w:t>
      </w:r>
      <w:r w:rsidRPr="00934F74">
        <w:t>e) provide a universal standard of measurement against which the impacts of releasing (or avoiding the release of) different greenhouse gases can be evaluated. Every greenhouse gas has a Global Warming Potential (GWP), a measurement of the impact that particular gas has on 'radiative forcing'; that is, the additional heat/energy which is retained in the Earth's ecosystem through the addition of this gas to the atmosphere.</w:t>
      </w:r>
    </w:p>
    <w:p w:rsidR="00C31146" w:rsidRPr="00934F74" w:rsidRDefault="00C31146" w:rsidP="00C31146">
      <w:r w:rsidRPr="00934F74">
        <w:t>Table 3.6-1 shows the CO</w:t>
      </w:r>
      <w:r w:rsidRPr="00934F74">
        <w:rPr>
          <w:vertAlign w:val="subscript"/>
        </w:rPr>
        <w:t>2</w:t>
      </w:r>
      <w:r w:rsidRPr="00934F74">
        <w:t xml:space="preserve">e emissions, which include </w:t>
      </w:r>
      <w:r w:rsidRPr="00D365DB">
        <w:t>mobile source, area source, and energy emissions that would result from operations upon full buildout of the General Plan. The full calculations, inputs, and assumptions are provided in Appendix B. CO</w:t>
      </w:r>
      <w:r w:rsidRPr="00D365DB">
        <w:rPr>
          <w:vertAlign w:val="subscript"/>
        </w:rPr>
        <w:t>2</w:t>
      </w:r>
      <w:r w:rsidRPr="00D365DB">
        <w:t>e emissions are presented prior to the implementation of the GHG emissions reductions measures contained in the Conservation Element of the General Plan (identified below), and following</w:t>
      </w:r>
      <w:r w:rsidRPr="00934F74">
        <w:t xml:space="preserve"> implementation of the policies and actions identified below.  The emissions estimates presented below do not account for the additional emissions reductions that would be achieved through regional implementation of the CCAP.  The emissions calculations presented below assume implementation of the policies and actions that are immediately available to the City of Cotati in the near-term.  As such, these estimates are considered a “worst-case” scenario, and do not account for the additional regional efforts that Cotati is currently participating in.    </w:t>
      </w:r>
    </w:p>
    <w:p w:rsidR="00C31146" w:rsidRPr="00BE6B18" w:rsidRDefault="00C31146" w:rsidP="00C31146">
      <w:pPr>
        <w:spacing w:after="0"/>
        <w:ind w:firstLine="720"/>
        <w:rPr>
          <w:b/>
          <w:i/>
          <w:smallCaps/>
        </w:rPr>
      </w:pPr>
      <w:r w:rsidRPr="00BE6B18">
        <w:rPr>
          <w:b/>
          <w:i/>
          <w:smallCaps/>
        </w:rPr>
        <w:t>Table 3.</w:t>
      </w:r>
      <w:r>
        <w:rPr>
          <w:b/>
          <w:i/>
          <w:smallCaps/>
        </w:rPr>
        <w:t>6</w:t>
      </w:r>
      <w:r w:rsidRPr="00BE6B18">
        <w:rPr>
          <w:b/>
          <w:i/>
          <w:smallCaps/>
        </w:rPr>
        <w:t xml:space="preserve">-1: GHG Emissions from </w:t>
      </w:r>
      <w:r>
        <w:rPr>
          <w:b/>
          <w:i/>
          <w:smallCaps/>
        </w:rPr>
        <w:t>Planning Area Buildout</w:t>
      </w:r>
    </w:p>
    <w:tbl>
      <w:tblPr>
        <w:tblW w:w="0" w:type="auto"/>
        <w:jc w:val="center"/>
        <w:tblInd w:w="-2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9"/>
        <w:gridCol w:w="2137"/>
        <w:gridCol w:w="2138"/>
      </w:tblGrid>
      <w:tr w:rsidR="00C31146" w:rsidRPr="00BE6B18">
        <w:trPr>
          <w:trHeight w:val="20"/>
          <w:jc w:val="center"/>
        </w:trPr>
        <w:tc>
          <w:tcPr>
            <w:tcW w:w="3879" w:type="dxa"/>
            <w:tcBorders>
              <w:top w:val="single" w:sz="4" w:space="0" w:color="000000"/>
              <w:bottom w:val="single" w:sz="4" w:space="0" w:color="000000"/>
            </w:tcBorders>
            <w:shd w:val="clear" w:color="auto" w:fill="D9D9D9"/>
            <w:vAlign w:val="center"/>
          </w:tcPr>
          <w:p w:rsidR="00C31146" w:rsidRPr="00BE6B18" w:rsidRDefault="00C31146" w:rsidP="00C31146">
            <w:pPr>
              <w:spacing w:after="0"/>
              <w:jc w:val="center"/>
              <w:rPr>
                <w:rFonts w:ascii="Cambria" w:hAnsi="Cambria"/>
                <w:i/>
                <w:smallCaps/>
                <w:sz w:val="20"/>
                <w:szCs w:val="20"/>
              </w:rPr>
            </w:pPr>
            <w:r>
              <w:rPr>
                <w:rFonts w:ascii="Cambria" w:hAnsi="Cambria"/>
                <w:i/>
                <w:smallCaps/>
                <w:sz w:val="20"/>
                <w:szCs w:val="20"/>
              </w:rPr>
              <w:t>Emissions Category</w:t>
            </w:r>
          </w:p>
        </w:tc>
        <w:tc>
          <w:tcPr>
            <w:tcW w:w="2137" w:type="dxa"/>
            <w:tcBorders>
              <w:top w:val="single" w:sz="4" w:space="0" w:color="000000"/>
              <w:bottom w:val="single" w:sz="4" w:space="0" w:color="000000"/>
            </w:tcBorders>
            <w:shd w:val="clear" w:color="auto" w:fill="D9D9D9"/>
            <w:vAlign w:val="center"/>
          </w:tcPr>
          <w:p w:rsidR="00C31146" w:rsidRPr="00BE6B18" w:rsidRDefault="00C31146" w:rsidP="00C31146">
            <w:pPr>
              <w:spacing w:after="0"/>
              <w:jc w:val="center"/>
              <w:rPr>
                <w:rFonts w:ascii="Cambria" w:hAnsi="Cambria"/>
                <w:i/>
                <w:smallCaps/>
                <w:sz w:val="20"/>
                <w:szCs w:val="20"/>
              </w:rPr>
            </w:pPr>
            <w:r w:rsidRPr="00BE6B18">
              <w:rPr>
                <w:rFonts w:ascii="Cambria" w:hAnsi="Cambria"/>
                <w:i/>
                <w:smallCaps/>
                <w:sz w:val="20"/>
                <w:szCs w:val="20"/>
              </w:rPr>
              <w:t>Unmitigated CO2e (</w:t>
            </w:r>
            <w:r>
              <w:rPr>
                <w:rFonts w:ascii="Cambria" w:hAnsi="Cambria"/>
                <w:i/>
                <w:smallCaps/>
                <w:sz w:val="20"/>
                <w:szCs w:val="20"/>
              </w:rPr>
              <w:t xml:space="preserve">Metric </w:t>
            </w:r>
            <w:r w:rsidRPr="00BE6B18">
              <w:rPr>
                <w:rFonts w:ascii="Cambria" w:hAnsi="Cambria"/>
                <w:i/>
                <w:smallCaps/>
                <w:sz w:val="20"/>
                <w:szCs w:val="20"/>
              </w:rPr>
              <w:t>tons/year)</w:t>
            </w:r>
          </w:p>
        </w:tc>
        <w:tc>
          <w:tcPr>
            <w:tcW w:w="2138" w:type="dxa"/>
            <w:tcBorders>
              <w:top w:val="single" w:sz="4" w:space="0" w:color="000000"/>
              <w:bottom w:val="single" w:sz="4" w:space="0" w:color="000000"/>
            </w:tcBorders>
            <w:shd w:val="clear" w:color="auto" w:fill="D9D9D9"/>
            <w:vAlign w:val="center"/>
          </w:tcPr>
          <w:p w:rsidR="00C31146" w:rsidRPr="00BE6B18" w:rsidRDefault="00C31146" w:rsidP="00C31146">
            <w:pPr>
              <w:spacing w:after="0"/>
              <w:jc w:val="center"/>
              <w:rPr>
                <w:rFonts w:ascii="Cambria" w:hAnsi="Cambria"/>
                <w:i/>
                <w:smallCaps/>
                <w:sz w:val="20"/>
                <w:szCs w:val="20"/>
              </w:rPr>
            </w:pPr>
            <w:r w:rsidRPr="00BE6B18">
              <w:rPr>
                <w:rFonts w:ascii="Cambria" w:hAnsi="Cambria"/>
                <w:i/>
                <w:smallCaps/>
                <w:sz w:val="20"/>
                <w:szCs w:val="20"/>
              </w:rPr>
              <w:t>Mitigated CO2e (</w:t>
            </w:r>
            <w:r>
              <w:rPr>
                <w:rFonts w:ascii="Cambria" w:hAnsi="Cambria"/>
                <w:i/>
                <w:smallCaps/>
                <w:sz w:val="20"/>
                <w:szCs w:val="20"/>
              </w:rPr>
              <w:t xml:space="preserve">Metric </w:t>
            </w:r>
            <w:r w:rsidRPr="00BE6B18">
              <w:rPr>
                <w:rFonts w:ascii="Cambria" w:hAnsi="Cambria"/>
                <w:i/>
                <w:smallCaps/>
                <w:sz w:val="20"/>
                <w:szCs w:val="20"/>
              </w:rPr>
              <w:t>tons/year)</w:t>
            </w:r>
          </w:p>
        </w:tc>
      </w:tr>
      <w:tr w:rsidR="00C31146" w:rsidRPr="00BE6B18">
        <w:trPr>
          <w:trHeight w:val="20"/>
          <w:jc w:val="center"/>
        </w:trPr>
        <w:tc>
          <w:tcPr>
            <w:tcW w:w="3879" w:type="dxa"/>
            <w:tcBorders>
              <w:top w:val="single" w:sz="4" w:space="0" w:color="000000"/>
              <w:bottom w:val="single" w:sz="4" w:space="0" w:color="000000"/>
              <w:right w:val="single" w:sz="4" w:space="0" w:color="000000"/>
            </w:tcBorders>
            <w:vAlign w:val="center"/>
          </w:tcPr>
          <w:p w:rsidR="00C31146" w:rsidRPr="00BE6B18" w:rsidRDefault="00C31146" w:rsidP="00C31146">
            <w:pPr>
              <w:spacing w:after="0"/>
              <w:jc w:val="left"/>
              <w:rPr>
                <w:rFonts w:ascii="Cambria" w:hAnsi="Cambria"/>
                <w:sz w:val="20"/>
                <w:szCs w:val="20"/>
              </w:rPr>
            </w:pPr>
            <w:r w:rsidRPr="00BE6B18">
              <w:rPr>
                <w:rFonts w:ascii="Cambria" w:hAnsi="Cambria"/>
                <w:sz w:val="20"/>
                <w:szCs w:val="20"/>
              </w:rPr>
              <w:t>Area Source GHG Emissions</w:t>
            </w:r>
          </w:p>
        </w:tc>
        <w:tc>
          <w:tcPr>
            <w:tcW w:w="2137" w:type="dxa"/>
            <w:tcBorders>
              <w:top w:val="single" w:sz="4" w:space="0" w:color="000000"/>
              <w:left w:val="single" w:sz="4" w:space="0" w:color="000000"/>
              <w:bottom w:val="single" w:sz="4" w:space="0" w:color="000000"/>
              <w:right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420.8</w:t>
            </w:r>
          </w:p>
        </w:tc>
        <w:tc>
          <w:tcPr>
            <w:tcW w:w="2138" w:type="dxa"/>
            <w:tcBorders>
              <w:top w:val="single" w:sz="4" w:space="0" w:color="000000"/>
              <w:left w:val="single" w:sz="4" w:space="0" w:color="000000"/>
              <w:bottom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177.1</w:t>
            </w:r>
          </w:p>
        </w:tc>
      </w:tr>
      <w:tr w:rsidR="00C31146" w:rsidRPr="00BE6B18">
        <w:trPr>
          <w:trHeight w:val="20"/>
          <w:jc w:val="center"/>
        </w:trPr>
        <w:tc>
          <w:tcPr>
            <w:tcW w:w="3879" w:type="dxa"/>
            <w:tcBorders>
              <w:top w:val="single" w:sz="4" w:space="0" w:color="000000"/>
              <w:bottom w:val="single" w:sz="4" w:space="0" w:color="000000"/>
              <w:right w:val="single" w:sz="4" w:space="0" w:color="000000"/>
            </w:tcBorders>
            <w:vAlign w:val="center"/>
          </w:tcPr>
          <w:p w:rsidR="00C31146" w:rsidRPr="00BE6B18" w:rsidRDefault="00C31146" w:rsidP="00C31146">
            <w:pPr>
              <w:spacing w:after="0"/>
              <w:jc w:val="left"/>
              <w:rPr>
                <w:rFonts w:ascii="Cambria" w:hAnsi="Cambria"/>
                <w:sz w:val="20"/>
                <w:szCs w:val="20"/>
              </w:rPr>
            </w:pPr>
            <w:r w:rsidRPr="00BE6B18">
              <w:rPr>
                <w:rFonts w:ascii="Cambria" w:hAnsi="Cambria"/>
                <w:sz w:val="20"/>
                <w:szCs w:val="20"/>
              </w:rPr>
              <w:t>Energy Source GHG Emissions</w:t>
            </w:r>
          </w:p>
        </w:tc>
        <w:tc>
          <w:tcPr>
            <w:tcW w:w="2137" w:type="dxa"/>
            <w:tcBorders>
              <w:top w:val="single" w:sz="4" w:space="0" w:color="000000"/>
              <w:left w:val="single" w:sz="4" w:space="0" w:color="000000"/>
              <w:bottom w:val="single" w:sz="4" w:space="0" w:color="000000"/>
              <w:right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26,825.4</w:t>
            </w:r>
          </w:p>
        </w:tc>
        <w:tc>
          <w:tcPr>
            <w:tcW w:w="2138" w:type="dxa"/>
            <w:tcBorders>
              <w:top w:val="single" w:sz="4" w:space="0" w:color="000000"/>
              <w:left w:val="single" w:sz="4" w:space="0" w:color="000000"/>
              <w:bottom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24,960.4</w:t>
            </w:r>
          </w:p>
        </w:tc>
      </w:tr>
      <w:tr w:rsidR="00C31146" w:rsidRPr="00BE6B18">
        <w:trPr>
          <w:trHeight w:val="20"/>
          <w:jc w:val="center"/>
        </w:trPr>
        <w:tc>
          <w:tcPr>
            <w:tcW w:w="3879" w:type="dxa"/>
            <w:tcBorders>
              <w:top w:val="single" w:sz="4" w:space="0" w:color="000000"/>
              <w:bottom w:val="single" w:sz="4" w:space="0" w:color="000000"/>
              <w:right w:val="single" w:sz="4" w:space="0" w:color="000000"/>
            </w:tcBorders>
            <w:vAlign w:val="center"/>
          </w:tcPr>
          <w:p w:rsidR="00C31146" w:rsidRPr="00BE6B18" w:rsidRDefault="00C31146" w:rsidP="00C31146">
            <w:pPr>
              <w:spacing w:after="0"/>
              <w:jc w:val="left"/>
              <w:rPr>
                <w:rFonts w:ascii="Cambria" w:hAnsi="Cambria"/>
                <w:sz w:val="20"/>
                <w:szCs w:val="20"/>
              </w:rPr>
            </w:pPr>
            <w:r w:rsidRPr="00BE6B18">
              <w:rPr>
                <w:rFonts w:ascii="Cambria" w:hAnsi="Cambria"/>
                <w:sz w:val="20"/>
                <w:szCs w:val="20"/>
              </w:rPr>
              <w:t>Mobile Source GHG Emissions</w:t>
            </w:r>
          </w:p>
        </w:tc>
        <w:tc>
          <w:tcPr>
            <w:tcW w:w="2137" w:type="dxa"/>
            <w:tcBorders>
              <w:top w:val="single" w:sz="4" w:space="0" w:color="000000"/>
              <w:left w:val="single" w:sz="4" w:space="0" w:color="000000"/>
              <w:bottom w:val="single" w:sz="4" w:space="0" w:color="000000"/>
              <w:right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74,599.2</w:t>
            </w:r>
          </w:p>
        </w:tc>
        <w:tc>
          <w:tcPr>
            <w:tcW w:w="2138" w:type="dxa"/>
            <w:tcBorders>
              <w:top w:val="single" w:sz="4" w:space="0" w:color="000000"/>
              <w:left w:val="single" w:sz="4" w:space="0" w:color="000000"/>
              <w:bottom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66,146.1</w:t>
            </w:r>
          </w:p>
        </w:tc>
      </w:tr>
      <w:tr w:rsidR="00C31146" w:rsidRPr="00BE6B18">
        <w:trPr>
          <w:trHeight w:val="20"/>
          <w:jc w:val="center"/>
        </w:trPr>
        <w:tc>
          <w:tcPr>
            <w:tcW w:w="3879" w:type="dxa"/>
            <w:tcBorders>
              <w:top w:val="single" w:sz="4" w:space="0" w:color="000000"/>
              <w:bottom w:val="single" w:sz="4" w:space="0" w:color="000000"/>
              <w:right w:val="single" w:sz="4" w:space="0" w:color="000000"/>
            </w:tcBorders>
            <w:vAlign w:val="center"/>
          </w:tcPr>
          <w:p w:rsidR="00C31146" w:rsidRPr="00BE6B18" w:rsidRDefault="00C31146" w:rsidP="00C31146">
            <w:pPr>
              <w:spacing w:after="0"/>
              <w:jc w:val="left"/>
              <w:rPr>
                <w:rFonts w:ascii="Cambria" w:hAnsi="Cambria"/>
                <w:sz w:val="20"/>
                <w:szCs w:val="20"/>
              </w:rPr>
            </w:pPr>
            <w:r>
              <w:rPr>
                <w:rFonts w:ascii="Cambria" w:hAnsi="Cambria"/>
                <w:sz w:val="20"/>
                <w:szCs w:val="20"/>
              </w:rPr>
              <w:t>Waste Source GHG Emissions</w:t>
            </w:r>
          </w:p>
        </w:tc>
        <w:tc>
          <w:tcPr>
            <w:tcW w:w="2137" w:type="dxa"/>
            <w:tcBorders>
              <w:top w:val="single" w:sz="4" w:space="0" w:color="000000"/>
              <w:left w:val="single" w:sz="4" w:space="0" w:color="000000"/>
              <w:bottom w:val="single" w:sz="4" w:space="0" w:color="000000"/>
              <w:right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2,795.3</w:t>
            </w:r>
          </w:p>
        </w:tc>
        <w:tc>
          <w:tcPr>
            <w:tcW w:w="2138" w:type="dxa"/>
            <w:tcBorders>
              <w:top w:val="single" w:sz="4" w:space="0" w:color="000000"/>
              <w:left w:val="single" w:sz="4" w:space="0" w:color="000000"/>
              <w:bottom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2,795.3</w:t>
            </w:r>
          </w:p>
        </w:tc>
      </w:tr>
      <w:tr w:rsidR="00C31146" w:rsidRPr="00BE6B18">
        <w:trPr>
          <w:trHeight w:val="20"/>
          <w:jc w:val="center"/>
        </w:trPr>
        <w:tc>
          <w:tcPr>
            <w:tcW w:w="3879" w:type="dxa"/>
            <w:tcBorders>
              <w:top w:val="single" w:sz="4" w:space="0" w:color="000000"/>
              <w:bottom w:val="single" w:sz="4" w:space="0" w:color="000000"/>
              <w:right w:val="single" w:sz="4" w:space="0" w:color="000000"/>
            </w:tcBorders>
            <w:vAlign w:val="center"/>
          </w:tcPr>
          <w:p w:rsidR="00C31146" w:rsidRPr="00BE6B18" w:rsidRDefault="00C31146" w:rsidP="00C31146">
            <w:pPr>
              <w:spacing w:after="0"/>
              <w:jc w:val="left"/>
              <w:rPr>
                <w:rFonts w:ascii="Cambria" w:hAnsi="Cambria"/>
                <w:sz w:val="20"/>
                <w:szCs w:val="20"/>
              </w:rPr>
            </w:pPr>
            <w:r>
              <w:rPr>
                <w:rFonts w:ascii="Cambria" w:hAnsi="Cambria"/>
                <w:sz w:val="20"/>
                <w:szCs w:val="20"/>
              </w:rPr>
              <w:t>Water Usage GHG Emissions</w:t>
            </w:r>
          </w:p>
        </w:tc>
        <w:tc>
          <w:tcPr>
            <w:tcW w:w="2137" w:type="dxa"/>
            <w:tcBorders>
              <w:top w:val="single" w:sz="4" w:space="0" w:color="000000"/>
              <w:left w:val="single" w:sz="4" w:space="0" w:color="000000"/>
              <w:bottom w:val="single" w:sz="4" w:space="0" w:color="000000"/>
              <w:right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2,125.4</w:t>
            </w:r>
          </w:p>
        </w:tc>
        <w:tc>
          <w:tcPr>
            <w:tcW w:w="2138" w:type="dxa"/>
            <w:tcBorders>
              <w:top w:val="single" w:sz="4" w:space="0" w:color="000000"/>
              <w:left w:val="single" w:sz="4" w:space="0" w:color="000000"/>
              <w:bottom w:val="single" w:sz="4" w:space="0" w:color="000000"/>
            </w:tcBorders>
            <w:vAlign w:val="center"/>
          </w:tcPr>
          <w:p w:rsidR="00C31146" w:rsidRPr="00BE6B18" w:rsidRDefault="00C31146" w:rsidP="00C31146">
            <w:pPr>
              <w:spacing w:after="0"/>
              <w:jc w:val="center"/>
              <w:rPr>
                <w:rFonts w:ascii="Cambria" w:hAnsi="Cambria"/>
                <w:sz w:val="20"/>
                <w:szCs w:val="20"/>
              </w:rPr>
            </w:pPr>
            <w:r>
              <w:rPr>
                <w:rFonts w:ascii="Cambria" w:hAnsi="Cambria"/>
                <w:sz w:val="20"/>
                <w:szCs w:val="20"/>
              </w:rPr>
              <w:t>1,735.8</w:t>
            </w:r>
          </w:p>
        </w:tc>
      </w:tr>
      <w:tr w:rsidR="00C31146" w:rsidRPr="00BE6B18">
        <w:trPr>
          <w:trHeight w:val="20"/>
          <w:jc w:val="center"/>
        </w:trPr>
        <w:tc>
          <w:tcPr>
            <w:tcW w:w="3879" w:type="dxa"/>
            <w:tcBorders>
              <w:top w:val="single" w:sz="4" w:space="0" w:color="000000"/>
              <w:bottom w:val="single" w:sz="4" w:space="0" w:color="000000"/>
              <w:right w:val="single" w:sz="4" w:space="0" w:color="000000"/>
            </w:tcBorders>
            <w:vAlign w:val="center"/>
          </w:tcPr>
          <w:p w:rsidR="00C31146" w:rsidRPr="00BE6B18" w:rsidRDefault="00C31146" w:rsidP="00C31146">
            <w:pPr>
              <w:spacing w:after="0"/>
              <w:jc w:val="right"/>
              <w:rPr>
                <w:rFonts w:ascii="Cambria" w:hAnsi="Cambria"/>
                <w:b/>
                <w:sz w:val="20"/>
                <w:szCs w:val="20"/>
              </w:rPr>
            </w:pPr>
            <w:r w:rsidRPr="00BE6B18">
              <w:rPr>
                <w:rFonts w:ascii="Cambria" w:hAnsi="Cambria"/>
                <w:b/>
                <w:sz w:val="20"/>
                <w:szCs w:val="20"/>
              </w:rPr>
              <w:t>Total Operational GHG Emissions</w:t>
            </w:r>
          </w:p>
        </w:tc>
        <w:tc>
          <w:tcPr>
            <w:tcW w:w="2137" w:type="dxa"/>
            <w:tcBorders>
              <w:top w:val="single" w:sz="4" w:space="0" w:color="000000"/>
              <w:left w:val="single" w:sz="4" w:space="0" w:color="000000"/>
              <w:bottom w:val="single" w:sz="4" w:space="0" w:color="000000"/>
              <w:right w:val="single" w:sz="4" w:space="0" w:color="000000"/>
            </w:tcBorders>
            <w:vAlign w:val="center"/>
          </w:tcPr>
          <w:p w:rsidR="00C31146" w:rsidRPr="00BE6B18" w:rsidRDefault="00C31146" w:rsidP="00C31146">
            <w:pPr>
              <w:spacing w:after="0"/>
              <w:jc w:val="center"/>
              <w:rPr>
                <w:rFonts w:ascii="Cambria" w:hAnsi="Cambria"/>
                <w:b/>
                <w:sz w:val="20"/>
                <w:szCs w:val="20"/>
              </w:rPr>
            </w:pPr>
            <w:r>
              <w:rPr>
                <w:rFonts w:ascii="Cambria" w:hAnsi="Cambria"/>
                <w:b/>
                <w:sz w:val="20"/>
                <w:szCs w:val="20"/>
              </w:rPr>
              <w:t>106,766.2</w:t>
            </w:r>
          </w:p>
        </w:tc>
        <w:tc>
          <w:tcPr>
            <w:tcW w:w="2138" w:type="dxa"/>
            <w:tcBorders>
              <w:top w:val="single" w:sz="4" w:space="0" w:color="000000"/>
              <w:left w:val="single" w:sz="4" w:space="0" w:color="000000"/>
              <w:bottom w:val="single" w:sz="4" w:space="0" w:color="000000"/>
            </w:tcBorders>
            <w:vAlign w:val="center"/>
          </w:tcPr>
          <w:p w:rsidR="00C31146" w:rsidRPr="00BE6B18" w:rsidRDefault="00C31146" w:rsidP="00C31146">
            <w:pPr>
              <w:spacing w:after="0"/>
              <w:jc w:val="center"/>
              <w:rPr>
                <w:rFonts w:ascii="Cambria" w:hAnsi="Cambria"/>
                <w:b/>
                <w:sz w:val="20"/>
                <w:szCs w:val="20"/>
              </w:rPr>
            </w:pPr>
            <w:r>
              <w:rPr>
                <w:rFonts w:ascii="Cambria" w:hAnsi="Cambria"/>
                <w:b/>
                <w:sz w:val="20"/>
                <w:szCs w:val="20"/>
              </w:rPr>
              <w:t>95,814.6</w:t>
            </w:r>
          </w:p>
        </w:tc>
      </w:tr>
    </w:tbl>
    <w:p w:rsidR="00C31146" w:rsidRPr="004E4A8D" w:rsidRDefault="00C31146" w:rsidP="00C31146">
      <w:pPr>
        <w:pStyle w:val="Source"/>
        <w:ind w:left="0" w:firstLine="720"/>
      </w:pPr>
      <w:r w:rsidRPr="00BE6B18">
        <w:t>Sources: CalEEMod (v.2013.</w:t>
      </w:r>
      <w:r>
        <w:t>2.</w:t>
      </w:r>
      <w:r w:rsidRPr="00BE6B18">
        <w:t>2)</w:t>
      </w:r>
    </w:p>
    <w:p w:rsidR="00C31146" w:rsidRDefault="00C31146" w:rsidP="00C31146">
      <w:pPr>
        <w:autoSpaceDE w:val="0"/>
        <w:autoSpaceDN w:val="0"/>
        <w:adjustRightInd w:val="0"/>
        <w:spacing w:line="22" w:lineRule="atLeast"/>
      </w:pPr>
      <w:r w:rsidRPr="0004055D">
        <w:t xml:space="preserve">As shown in Table 3.6-1, full buildout of the 2013 Cotati General Plan could generate up to 106,766 metric tons of CO2e per year.  However, a range of policies and actions have been incorporated into the Conservation Element of the General Plan, which would reduce GHG emissions at full buildout to 95,814 metric tons per year, which represents a 10.26 percent reduction.  </w:t>
      </w:r>
    </w:p>
    <w:p w:rsidR="00C31146" w:rsidRDefault="00C31146" w:rsidP="00C31146">
      <w:pPr>
        <w:autoSpaceDE w:val="0"/>
        <w:autoSpaceDN w:val="0"/>
        <w:adjustRightInd w:val="0"/>
        <w:spacing w:line="22" w:lineRule="atLeast"/>
      </w:pPr>
      <w:r>
        <w:t xml:space="preserve">As described previously in this section, the CalEEMod air quality and GHG emissions calculations presented in Table 3.6-1 do not account for the additional GHG emissions reductions that would be achieved through compliance with, and implementation of, the CCAP developed by RCPA.  The CCAP is anticipated to result in a 22 percent reduction in GHG emissions below 1990 levels.  </w:t>
      </w:r>
    </w:p>
    <w:p w:rsidR="00C31146" w:rsidRDefault="00C31146" w:rsidP="00C31146">
      <w:pPr>
        <w:autoSpaceDE w:val="0"/>
        <w:autoSpaceDN w:val="0"/>
        <w:adjustRightInd w:val="0"/>
        <w:spacing w:line="22" w:lineRule="atLeast"/>
        <w:rPr>
          <w:i/>
        </w:rPr>
      </w:pPr>
      <w:r>
        <w:t xml:space="preserve">As demonstrated by the policies and action items listed below, the 2013 Cotati General Plan has taken a progressive and proactive approach to the reduction of GHG emissions through a wide range of measures and programs.  The policies and actions listed below are consistent with the policy guidance provided by CAPCOA through the </w:t>
      </w:r>
      <w:r w:rsidRPr="006221C7">
        <w:t xml:space="preserve">2009 </w:t>
      </w:r>
      <w:r w:rsidRPr="006221C7">
        <w:rPr>
          <w:i/>
        </w:rPr>
        <w:t xml:space="preserve">Model Policies for Greenhouse Gases in </w:t>
      </w:r>
      <w:r w:rsidRPr="006221C7">
        <w:rPr>
          <w:i/>
        </w:rPr>
        <w:lastRenderedPageBreak/>
        <w:t>General Plans</w:t>
      </w:r>
      <w:r>
        <w:rPr>
          <w:i/>
        </w:rPr>
        <w:t xml:space="preserve">, </w:t>
      </w:r>
      <w:r w:rsidRPr="00EB0ADC">
        <w:t>which is consistent with the AB 32 Scoping Plan, and GHG reduction measures recommended by the BAAQMD.</w:t>
      </w:r>
      <w:r>
        <w:rPr>
          <w:i/>
        </w:rPr>
        <w:t xml:space="preserve">  </w:t>
      </w:r>
    </w:p>
    <w:p w:rsidR="00C31146" w:rsidRPr="00EB0ADC" w:rsidRDefault="00C31146" w:rsidP="00C31146">
      <w:pPr>
        <w:pStyle w:val="Heading5"/>
        <w:spacing w:after="120"/>
        <w:rPr>
          <w:b/>
          <w:sz w:val="24"/>
        </w:rPr>
      </w:pPr>
      <w:r w:rsidRPr="00EB0ADC">
        <w:rPr>
          <w:b/>
          <w:sz w:val="24"/>
        </w:rPr>
        <w:t>2013 General Plan Policies and Actions that Mitigate Potential Impacts</w:t>
      </w:r>
    </w:p>
    <w:p w:rsidR="00C31146" w:rsidRPr="007520F0" w:rsidRDefault="00C31146" w:rsidP="00C31146">
      <w:pPr>
        <w:pStyle w:val="Action"/>
        <w:spacing w:after="120"/>
        <w:ind w:left="0"/>
        <w:rPr>
          <w:u w:val="single"/>
        </w:rPr>
      </w:pPr>
      <w:r w:rsidRPr="007520F0">
        <w:rPr>
          <w:u w:val="single"/>
        </w:rPr>
        <w:t>Policies</w:t>
      </w:r>
    </w:p>
    <w:p w:rsidR="00C31146" w:rsidRPr="00433A90" w:rsidRDefault="00C31146" w:rsidP="00C31146">
      <w:pPr>
        <w:pStyle w:val="Policy"/>
        <w:ind w:left="0"/>
        <w:rPr>
          <w:rFonts w:eastAsia="Calibri"/>
          <w:b/>
          <w:bCs w:val="0"/>
          <w:i/>
          <w:szCs w:val="22"/>
        </w:rPr>
      </w:pPr>
      <w:r w:rsidRPr="00433A90">
        <w:rPr>
          <w:rFonts w:eastAsia="Calibri"/>
          <w:b/>
          <w:bCs w:val="0"/>
          <w:i/>
          <w:szCs w:val="22"/>
        </w:rPr>
        <w:t>Policy CON 2.6:</w:t>
      </w:r>
      <w:r w:rsidRPr="00433A90">
        <w:rPr>
          <w:rFonts w:eastAsia="Calibri"/>
          <w:b/>
          <w:bCs w:val="0"/>
          <w:i/>
          <w:szCs w:val="22"/>
        </w:rPr>
        <w:tab/>
      </w:r>
      <w:r w:rsidRPr="00433A90">
        <w:rPr>
          <w:rFonts w:eastAsia="Calibri"/>
          <w:bCs w:val="0"/>
          <w:i/>
          <w:szCs w:val="22"/>
        </w:rPr>
        <w:t>Reduce greenhouse gas (GHG) emissions from City facilities and operations to 30 percent below 1990 levels by 2015, consistent with the goals stated in the 2008 Cotati Greenhouse Gas Emissions Reduction Action Plan.</w:t>
      </w:r>
      <w:r w:rsidRPr="00433A90">
        <w:rPr>
          <w:rFonts w:eastAsia="Calibri"/>
          <w:b/>
          <w:bCs w:val="0"/>
          <w:i/>
          <w:szCs w:val="22"/>
        </w:rPr>
        <w:t xml:space="preserve">  </w:t>
      </w:r>
    </w:p>
    <w:p w:rsidR="00C31146" w:rsidRPr="00433A90" w:rsidRDefault="00C31146" w:rsidP="00C31146">
      <w:pPr>
        <w:pStyle w:val="Policy"/>
        <w:ind w:left="0"/>
        <w:rPr>
          <w:rFonts w:eastAsia="Calibri"/>
          <w:bCs w:val="0"/>
          <w:i/>
          <w:szCs w:val="22"/>
        </w:rPr>
      </w:pPr>
      <w:r w:rsidRPr="00433A90">
        <w:rPr>
          <w:rFonts w:eastAsia="Calibri"/>
          <w:b/>
          <w:bCs w:val="0"/>
          <w:i/>
          <w:szCs w:val="22"/>
        </w:rPr>
        <w:t xml:space="preserve">Policy CON 2.7: </w:t>
      </w:r>
      <w:r w:rsidRPr="00433A90">
        <w:rPr>
          <w:rFonts w:eastAsia="Calibri"/>
          <w:bCs w:val="0"/>
          <w:i/>
          <w:szCs w:val="22"/>
        </w:rPr>
        <w:t xml:space="preserve">Continue to aggressively implement the greenhouse gas (GHG) reduction measures contained in the 2008 Cotati Greenhouse Gas Emissions Reduction Action Plan.  </w:t>
      </w:r>
    </w:p>
    <w:p w:rsidR="00C31146" w:rsidRPr="00433A90" w:rsidRDefault="00C31146" w:rsidP="00C31146">
      <w:pPr>
        <w:pStyle w:val="Policy"/>
        <w:ind w:left="0"/>
        <w:rPr>
          <w:rFonts w:eastAsia="Calibri"/>
          <w:bCs w:val="0"/>
          <w:i/>
          <w:szCs w:val="22"/>
        </w:rPr>
      </w:pPr>
      <w:r w:rsidRPr="00433A90">
        <w:rPr>
          <w:rFonts w:eastAsia="Calibri"/>
          <w:b/>
          <w:bCs w:val="0"/>
          <w:i/>
          <w:szCs w:val="22"/>
        </w:rPr>
        <w:t>Policy CON 2.8:</w:t>
      </w:r>
      <w:r w:rsidRPr="00433A90">
        <w:rPr>
          <w:rFonts w:eastAsia="Calibri"/>
          <w:bCs w:val="0"/>
          <w:i/>
          <w:szCs w:val="22"/>
        </w:rPr>
        <w:t xml:space="preserve">  Support the development and implementation of a GHG reduction plan, or Climate Action Plan, that addresses and reduces GHG emissions associated with community operations, including but not limited to: mobile sources (vehicle traffic), energy consumption, and solid waste.  </w:t>
      </w:r>
    </w:p>
    <w:p w:rsidR="00C31146" w:rsidRPr="00433A90" w:rsidRDefault="00C31146" w:rsidP="00C31146">
      <w:pPr>
        <w:pStyle w:val="Policy"/>
        <w:ind w:left="0"/>
        <w:rPr>
          <w:rFonts w:eastAsia="Calibri"/>
          <w:bCs w:val="0"/>
          <w:i/>
          <w:szCs w:val="22"/>
        </w:rPr>
      </w:pPr>
      <w:r w:rsidRPr="00433A90">
        <w:rPr>
          <w:rFonts w:eastAsia="Calibri"/>
          <w:b/>
          <w:bCs w:val="0"/>
          <w:i/>
          <w:szCs w:val="22"/>
        </w:rPr>
        <w:t>Policy CON 2.9:</w:t>
      </w:r>
      <w:r w:rsidRPr="00433A90">
        <w:rPr>
          <w:rFonts w:eastAsia="Calibri"/>
          <w:bCs w:val="0"/>
          <w:i/>
          <w:szCs w:val="22"/>
        </w:rPr>
        <w:t xml:space="preserve">  Coordinate with Sonoma County and nearby cities to implement regional GHG reduction plans and consolidate efforts to reduce GHGs throughout the County.  </w:t>
      </w:r>
    </w:p>
    <w:p w:rsidR="00C31146" w:rsidRPr="00433A90" w:rsidRDefault="00C31146" w:rsidP="00C31146">
      <w:pPr>
        <w:pStyle w:val="Policy"/>
        <w:ind w:left="0"/>
        <w:rPr>
          <w:rFonts w:eastAsia="Calibri"/>
          <w:bCs w:val="0"/>
          <w:i/>
          <w:szCs w:val="22"/>
        </w:rPr>
      </w:pPr>
      <w:r w:rsidRPr="00433A90">
        <w:rPr>
          <w:rFonts w:eastAsia="Calibri"/>
          <w:b/>
          <w:bCs w:val="0"/>
          <w:i/>
          <w:szCs w:val="22"/>
        </w:rPr>
        <w:t>Policy CON 2.10:</w:t>
      </w:r>
      <w:r w:rsidRPr="00433A90">
        <w:rPr>
          <w:rFonts w:eastAsia="Calibri"/>
          <w:bCs w:val="0"/>
          <w:i/>
          <w:szCs w:val="22"/>
        </w:rPr>
        <w:t xml:space="preserve">  Encourage local businesses and industries to engage in voluntary efforts to reduce GHG emissions and energy consumption.  </w:t>
      </w:r>
    </w:p>
    <w:p w:rsidR="00C31146" w:rsidRPr="00433A90" w:rsidRDefault="00C31146" w:rsidP="00C31146">
      <w:pPr>
        <w:pStyle w:val="Policy"/>
        <w:ind w:left="0"/>
        <w:rPr>
          <w:rFonts w:eastAsia="Calibri"/>
          <w:bCs w:val="0"/>
          <w:i/>
          <w:szCs w:val="22"/>
        </w:rPr>
      </w:pPr>
      <w:r w:rsidRPr="00433A90">
        <w:rPr>
          <w:rFonts w:eastAsia="Calibri"/>
          <w:b/>
          <w:bCs w:val="0"/>
          <w:i/>
          <w:szCs w:val="22"/>
        </w:rPr>
        <w:t>Policy CON 2.11:</w:t>
      </w:r>
      <w:r w:rsidRPr="00433A90">
        <w:rPr>
          <w:rFonts w:eastAsia="Calibri"/>
          <w:bCs w:val="0"/>
          <w:i/>
          <w:szCs w:val="22"/>
        </w:rPr>
        <w:t xml:space="preserve">  Preserve, protect and enhance, as appropriate, the City’s carbon sequestration resources, also referred to as “carbon sinks,” to improve air quality and reduce net carbon emissions.  </w:t>
      </w:r>
    </w:p>
    <w:p w:rsidR="00C31146" w:rsidRDefault="00C31146" w:rsidP="00C31146">
      <w:pPr>
        <w:pStyle w:val="Policy"/>
        <w:ind w:left="0"/>
        <w:rPr>
          <w:i/>
        </w:rPr>
      </w:pPr>
      <w:r w:rsidRPr="00433A90">
        <w:rPr>
          <w:rFonts w:eastAsia="Calibri"/>
          <w:b/>
          <w:bCs w:val="0"/>
          <w:i/>
          <w:szCs w:val="22"/>
        </w:rPr>
        <w:t>Policy CON 2.12:</w:t>
      </w:r>
      <w:r w:rsidRPr="00433A90">
        <w:rPr>
          <w:i/>
        </w:rPr>
        <w:t xml:space="preserve">  Encourage public transit, ridesharing and van pooling, shortened and combined motor vehicle trips to work and services, use of bicycles, and walking. Minimize single passenger motor vehicle use.</w:t>
      </w:r>
    </w:p>
    <w:p w:rsidR="00C31146" w:rsidRPr="00BF0729" w:rsidRDefault="00C31146" w:rsidP="00C31146">
      <w:pPr>
        <w:pStyle w:val="Policy"/>
        <w:ind w:left="0"/>
        <w:rPr>
          <w:i/>
        </w:rPr>
      </w:pPr>
      <w:r w:rsidRPr="00BF0729">
        <w:rPr>
          <w:b/>
          <w:i/>
        </w:rPr>
        <w:t>Policy CON 3.1:</w:t>
      </w:r>
      <w:r w:rsidRPr="00BF0729">
        <w:rPr>
          <w:i/>
        </w:rPr>
        <w:t xml:space="preserve"> Continue to require all new public and privately constructed buildings to meet and comply with CALGreen Tier 1 standards.  </w:t>
      </w:r>
    </w:p>
    <w:p w:rsidR="00C31146" w:rsidRPr="00BF0729" w:rsidRDefault="00C31146" w:rsidP="00C31146">
      <w:pPr>
        <w:pStyle w:val="Policy"/>
        <w:ind w:left="0"/>
        <w:rPr>
          <w:i/>
        </w:rPr>
      </w:pPr>
      <w:r w:rsidRPr="00BF0729">
        <w:rPr>
          <w:b/>
          <w:i/>
        </w:rPr>
        <w:t>Policy CON 3.2:</w:t>
      </w:r>
      <w:r w:rsidRPr="00BF0729">
        <w:rPr>
          <w:i/>
        </w:rPr>
        <w:t xml:space="preserve">  Support innovative and green building best management practices, including LEED certification, for all new development, and encourage project applicants to exceed CALGreen Tier 1 standards, if feasible.  </w:t>
      </w:r>
    </w:p>
    <w:p w:rsidR="00C31146" w:rsidRPr="00BF0729" w:rsidRDefault="00C31146" w:rsidP="00C31146">
      <w:pPr>
        <w:pStyle w:val="Policy"/>
        <w:ind w:left="0"/>
        <w:rPr>
          <w:i/>
        </w:rPr>
      </w:pPr>
      <w:r w:rsidRPr="00BF0729">
        <w:rPr>
          <w:rFonts w:eastAsia="Calibri"/>
          <w:b/>
          <w:bCs w:val="0"/>
          <w:i/>
          <w:szCs w:val="22"/>
        </w:rPr>
        <w:t>Policy CON 3.3:</w:t>
      </w:r>
      <w:r w:rsidRPr="00BF0729">
        <w:rPr>
          <w:i/>
        </w:rPr>
        <w:t xml:space="preserve"> Promote the use of alternative energy sources in new development.</w:t>
      </w:r>
    </w:p>
    <w:p w:rsidR="00C31146" w:rsidRPr="00BF0729" w:rsidRDefault="00C31146" w:rsidP="00C31146">
      <w:pPr>
        <w:pStyle w:val="Policy"/>
        <w:ind w:left="0"/>
        <w:rPr>
          <w:i/>
        </w:rPr>
      </w:pPr>
      <w:r w:rsidRPr="00BF0729">
        <w:rPr>
          <w:rFonts w:eastAsia="Calibri"/>
          <w:b/>
          <w:bCs w:val="0"/>
          <w:i/>
          <w:szCs w:val="22"/>
        </w:rPr>
        <w:t>Policy CON 3.4:</w:t>
      </w:r>
      <w:r w:rsidRPr="00BF0729">
        <w:rPr>
          <w:i/>
        </w:rPr>
        <w:t xml:space="preserve">  Incorporate innovative green building techniques and best management practices in the site design, construction, and renovation of all public projects.  </w:t>
      </w:r>
    </w:p>
    <w:p w:rsidR="00C31146" w:rsidRPr="00BF0729" w:rsidRDefault="00C31146" w:rsidP="00C31146">
      <w:pPr>
        <w:pStyle w:val="Policy"/>
        <w:ind w:left="0"/>
        <w:rPr>
          <w:i/>
        </w:rPr>
      </w:pPr>
      <w:r w:rsidRPr="00BF0729">
        <w:rPr>
          <w:rFonts w:eastAsia="Calibri"/>
          <w:b/>
          <w:bCs w:val="0"/>
          <w:i/>
          <w:szCs w:val="22"/>
        </w:rPr>
        <w:t>Policy CON 3.5:</w:t>
      </w:r>
      <w:r w:rsidRPr="00BF0729">
        <w:rPr>
          <w:i/>
        </w:rPr>
        <w:t xml:space="preserve"> Ensure protection of solar access.</w:t>
      </w:r>
    </w:p>
    <w:p w:rsidR="00C31146" w:rsidRPr="00BF0729" w:rsidRDefault="00C31146" w:rsidP="00C31146">
      <w:pPr>
        <w:pStyle w:val="Policy"/>
        <w:ind w:left="0"/>
        <w:rPr>
          <w:i/>
        </w:rPr>
      </w:pPr>
      <w:r w:rsidRPr="00BF0729">
        <w:rPr>
          <w:b/>
          <w:i/>
        </w:rPr>
        <w:t>Policy CON 3.6:</w:t>
      </w:r>
      <w:r w:rsidRPr="00BF0729">
        <w:rPr>
          <w:i/>
        </w:rPr>
        <w:t xml:space="preserve"> Ensure that street layout and design minimizes the use of pavement to the greatest extent feasible in order to reduce cooling energy needs.</w:t>
      </w:r>
    </w:p>
    <w:p w:rsidR="00C31146" w:rsidRPr="00BF0729" w:rsidRDefault="00C31146" w:rsidP="00C31146">
      <w:pPr>
        <w:pStyle w:val="Policy"/>
        <w:ind w:left="0"/>
        <w:rPr>
          <w:i/>
        </w:rPr>
      </w:pPr>
      <w:r w:rsidRPr="00BF0729">
        <w:rPr>
          <w:b/>
          <w:i/>
        </w:rPr>
        <w:lastRenderedPageBreak/>
        <w:t>Policy CON 3.8:</w:t>
      </w:r>
      <w:r w:rsidRPr="00BF0729">
        <w:rPr>
          <w:i/>
        </w:rPr>
        <w:t xml:space="preserve"> Promote water conservation among water users.</w:t>
      </w:r>
    </w:p>
    <w:p w:rsidR="00C31146" w:rsidRPr="00BF0729" w:rsidRDefault="00C31146" w:rsidP="00C31146">
      <w:pPr>
        <w:pStyle w:val="Policy"/>
        <w:ind w:left="0"/>
        <w:rPr>
          <w:i/>
        </w:rPr>
      </w:pPr>
      <w:r w:rsidRPr="00BF0729">
        <w:rPr>
          <w:b/>
          <w:i/>
        </w:rPr>
        <w:t>Policy CON 3.9:</w:t>
      </w:r>
      <w:r w:rsidRPr="00BF0729">
        <w:rPr>
          <w:i/>
        </w:rPr>
        <w:t xml:space="preserve">  Require the use of drought</w:t>
      </w:r>
      <w:r w:rsidRPr="00BF0729">
        <w:rPr>
          <w:i/>
        </w:rPr>
        <w:noBreakHyphen/>
        <w:t>tolerant and regionally native plants in landscaping.</w:t>
      </w:r>
    </w:p>
    <w:p w:rsidR="00C31146" w:rsidRPr="00BF0729" w:rsidRDefault="00C31146" w:rsidP="00C31146">
      <w:pPr>
        <w:pStyle w:val="Policy"/>
        <w:ind w:left="0"/>
        <w:rPr>
          <w:i/>
        </w:rPr>
      </w:pPr>
      <w:r w:rsidRPr="00BF0729">
        <w:rPr>
          <w:b/>
          <w:i/>
        </w:rPr>
        <w:t>Policy CON 3.10:</w:t>
      </w:r>
      <w:r w:rsidRPr="00BF0729">
        <w:rPr>
          <w:i/>
        </w:rPr>
        <w:t xml:space="preserve"> Ensure that the layout and design of new development and significant remodels encourages the use of transportation modes other than automobiles and trucks.</w:t>
      </w:r>
    </w:p>
    <w:p w:rsidR="00C31146" w:rsidRPr="00BF0729" w:rsidRDefault="00C31146" w:rsidP="00C31146">
      <w:pPr>
        <w:pStyle w:val="Policy"/>
        <w:ind w:left="0"/>
        <w:rPr>
          <w:i/>
        </w:rPr>
      </w:pPr>
      <w:r w:rsidRPr="00BF0729">
        <w:rPr>
          <w:b/>
          <w:i/>
        </w:rPr>
        <w:t>Policy CON 3.11:</w:t>
      </w:r>
      <w:r w:rsidRPr="00BF0729">
        <w:rPr>
          <w:i/>
        </w:rPr>
        <w:t xml:space="preserve"> Continue the City</w:t>
      </w:r>
      <w:r w:rsidRPr="00BF0729">
        <w:rPr>
          <w:i/>
        </w:rPr>
        <w:noBreakHyphen/>
        <w:t>wide recycling program and actively encourage recycling.</w:t>
      </w:r>
    </w:p>
    <w:p w:rsidR="00C31146" w:rsidRPr="00BF0729" w:rsidRDefault="00C31146" w:rsidP="00C31146">
      <w:pPr>
        <w:pStyle w:val="Policy"/>
        <w:ind w:left="0"/>
        <w:rPr>
          <w:i/>
        </w:rPr>
      </w:pPr>
      <w:r w:rsidRPr="00BF0729">
        <w:rPr>
          <w:b/>
          <w:i/>
        </w:rPr>
        <w:t>Policy CON 3.12:</w:t>
      </w:r>
      <w:r w:rsidRPr="00BF0729">
        <w:rPr>
          <w:i/>
        </w:rPr>
        <w:t xml:space="preserve"> Continue efforts to reduce solid waste generation throughout the life of the General Plan.  </w:t>
      </w:r>
    </w:p>
    <w:p w:rsidR="00C31146" w:rsidRPr="00BF0729" w:rsidRDefault="00C31146" w:rsidP="00C31146">
      <w:pPr>
        <w:pStyle w:val="Policy"/>
        <w:ind w:left="0"/>
        <w:rPr>
          <w:i/>
        </w:rPr>
      </w:pPr>
      <w:r w:rsidRPr="00BF0729">
        <w:rPr>
          <w:b/>
          <w:i/>
        </w:rPr>
        <w:t>Policy CI 1.2</w:t>
      </w:r>
      <w:r w:rsidRPr="00BF0729">
        <w:rPr>
          <w:i/>
        </w:rPr>
        <w:tab/>
        <w:t>Ensure that the City’s circulation network is a well-connected system of streets, roads, highways, sidewalks, and bicycle/pedestrian paths that effectively accommodates vehicular and non-vehicular traffic in a manner that considers the context of surrounding land uses and the needs of all roadway users.</w:t>
      </w:r>
    </w:p>
    <w:p w:rsidR="00C31146" w:rsidRPr="00BF0729" w:rsidRDefault="00C31146" w:rsidP="00C31146">
      <w:pPr>
        <w:pStyle w:val="Policy"/>
        <w:ind w:left="0"/>
        <w:rPr>
          <w:i/>
        </w:rPr>
      </w:pPr>
      <w:r w:rsidRPr="00BF0729">
        <w:rPr>
          <w:b/>
          <w:i/>
        </w:rPr>
        <w:t>Policy CI 1.19</w:t>
      </w:r>
      <w:r w:rsidRPr="00BF0729">
        <w:rPr>
          <w:i/>
        </w:rPr>
        <w:tab/>
        <w:t>Require new development to include effective linkages to the surrounding circulation system for all modes of travel, to the extent feasible.</w:t>
      </w:r>
    </w:p>
    <w:p w:rsidR="00C31146" w:rsidRPr="00BF0729" w:rsidRDefault="00C31146" w:rsidP="00C31146">
      <w:pPr>
        <w:pStyle w:val="Policy"/>
        <w:ind w:left="0"/>
        <w:rPr>
          <w:i/>
        </w:rPr>
      </w:pPr>
      <w:r w:rsidRPr="00BF0729">
        <w:rPr>
          <w:b/>
          <w:i/>
        </w:rPr>
        <w:t>Policy CI 1.20</w:t>
      </w:r>
      <w:r w:rsidRPr="00BF0729">
        <w:rPr>
          <w:i/>
        </w:rPr>
        <w:tab/>
        <w:t>Require new development to contribute its fair share cost of circulation improvements necessary to address cumulative transportation impacts on roadways throughout the City as well as the bicycle and pedestrian network.</w:t>
      </w:r>
    </w:p>
    <w:p w:rsidR="00C31146" w:rsidRPr="00BF0729" w:rsidRDefault="00C31146" w:rsidP="00C31146">
      <w:pPr>
        <w:pStyle w:val="Policy"/>
        <w:ind w:left="0"/>
        <w:rPr>
          <w:i/>
        </w:rPr>
      </w:pPr>
      <w:r w:rsidRPr="00BF0729">
        <w:rPr>
          <w:b/>
          <w:i/>
        </w:rPr>
        <w:t>Policy CI 1.21</w:t>
      </w:r>
      <w:r w:rsidRPr="00BF0729">
        <w:rPr>
          <w:i/>
        </w:rPr>
        <w:tab/>
        <w:t xml:space="preserve">Require development projects to provide land dedications or pay fees in order to provide bike paths, sidewalks, and walkways. </w:t>
      </w:r>
    </w:p>
    <w:p w:rsidR="00C31146" w:rsidRPr="00BF0729" w:rsidRDefault="00C31146" w:rsidP="00C31146">
      <w:pPr>
        <w:pStyle w:val="Policy"/>
        <w:spacing w:before="200"/>
        <w:ind w:left="0"/>
        <w:rPr>
          <w:i/>
        </w:rPr>
      </w:pPr>
      <w:r w:rsidRPr="00BF0729">
        <w:rPr>
          <w:b/>
          <w:i/>
        </w:rPr>
        <w:t>Policy CI 2.1</w:t>
      </w:r>
      <w:r w:rsidRPr="00BF0729">
        <w:rPr>
          <w:b/>
          <w:i/>
        </w:rPr>
        <w:tab/>
      </w:r>
      <w:r w:rsidRPr="00BF0729">
        <w:rPr>
          <w:i/>
        </w:rPr>
        <w:t>Establish and maintain a system of pedestrian facilities and crossing enhancements that are consistent with the City’s Bicycle and Pedestrian Master Plan.</w:t>
      </w:r>
    </w:p>
    <w:p w:rsidR="00C31146" w:rsidRPr="00BF0729" w:rsidRDefault="00C31146" w:rsidP="00C31146">
      <w:pPr>
        <w:pStyle w:val="Policy"/>
        <w:ind w:left="0"/>
        <w:rPr>
          <w:i/>
        </w:rPr>
      </w:pPr>
      <w:r w:rsidRPr="00BF0729">
        <w:rPr>
          <w:b/>
          <w:i/>
        </w:rPr>
        <w:t>Policy CI 2.2</w:t>
      </w:r>
      <w:r w:rsidRPr="00BF0729">
        <w:rPr>
          <w:b/>
          <w:i/>
        </w:rPr>
        <w:tab/>
      </w:r>
      <w:r w:rsidRPr="00BF0729">
        <w:rPr>
          <w:i/>
        </w:rPr>
        <w:t>Support establishment of special assessments of affected property owners in order to provide funding to install walkways and fill gaps in the existing pedestrian network.</w:t>
      </w:r>
    </w:p>
    <w:p w:rsidR="00C31146" w:rsidRPr="00BF0729" w:rsidRDefault="00C31146" w:rsidP="00C31146">
      <w:pPr>
        <w:pStyle w:val="Policy"/>
        <w:ind w:left="0"/>
        <w:rPr>
          <w:i/>
        </w:rPr>
      </w:pPr>
      <w:r w:rsidRPr="00BF0729">
        <w:rPr>
          <w:b/>
          <w:i/>
        </w:rPr>
        <w:t>Policy CI 2.3</w:t>
      </w:r>
      <w:r w:rsidRPr="00BF0729">
        <w:rPr>
          <w:i/>
        </w:rPr>
        <w:tab/>
        <w:t>Require development projects to construct sidewalks and walkways on and off-site in order to maintain consistency with the City’s Bicycle and Pedestrian Master Plan, and as dictated by the location of transit stops and common pedestrian destinations.</w:t>
      </w:r>
    </w:p>
    <w:p w:rsidR="00C31146" w:rsidRPr="00BF0729" w:rsidRDefault="00C31146" w:rsidP="00C31146">
      <w:pPr>
        <w:pStyle w:val="Policy"/>
        <w:ind w:left="0"/>
        <w:rPr>
          <w:i/>
        </w:rPr>
      </w:pPr>
      <w:r w:rsidRPr="00BF0729">
        <w:rPr>
          <w:b/>
          <w:i/>
        </w:rPr>
        <w:t>Policy CI 2.7</w:t>
      </w:r>
      <w:r w:rsidRPr="00BF0729">
        <w:rPr>
          <w:i/>
        </w:rPr>
        <w:tab/>
        <w:t>Provide benches, covered resting areas, and bicycle parking along off-street pedestrian and bicycle facilities such as the Laguna de Santa Rosa path.</w:t>
      </w:r>
    </w:p>
    <w:p w:rsidR="00C31146" w:rsidRPr="00BF0729" w:rsidRDefault="00C31146" w:rsidP="00C31146">
      <w:pPr>
        <w:pStyle w:val="Policy"/>
        <w:ind w:left="0"/>
        <w:rPr>
          <w:i/>
        </w:rPr>
      </w:pPr>
      <w:r w:rsidRPr="00BF0729">
        <w:rPr>
          <w:b/>
          <w:i/>
        </w:rPr>
        <w:t>Policy CI 2.8</w:t>
      </w:r>
      <w:r w:rsidRPr="00BF0729">
        <w:rPr>
          <w:i/>
        </w:rPr>
        <w:tab/>
        <w:t>Where possible, integrate multi-use path facilities into utility corridor rights-of-way.</w:t>
      </w:r>
    </w:p>
    <w:p w:rsidR="00C31146" w:rsidRPr="00BF0729" w:rsidRDefault="00C31146" w:rsidP="00C31146">
      <w:pPr>
        <w:pStyle w:val="Policy"/>
        <w:ind w:left="0"/>
        <w:rPr>
          <w:i/>
        </w:rPr>
      </w:pPr>
      <w:r w:rsidRPr="00BF0729">
        <w:rPr>
          <w:b/>
          <w:i/>
        </w:rPr>
        <w:t>Policy CI 2.9</w:t>
      </w:r>
      <w:r w:rsidRPr="00BF0729">
        <w:rPr>
          <w:i/>
        </w:rPr>
        <w:tab/>
        <w:t>Work with utility providers to reduce or eliminate barriers to pedestrian and bicyclist mobility created by utility infrastructure (such as utility poles that obstruct accessibility).</w:t>
      </w:r>
    </w:p>
    <w:p w:rsidR="00C31146" w:rsidRPr="00BF0729" w:rsidRDefault="00C31146" w:rsidP="00C31146">
      <w:pPr>
        <w:pStyle w:val="Policy"/>
        <w:ind w:left="0"/>
        <w:rPr>
          <w:i/>
        </w:rPr>
      </w:pPr>
      <w:r w:rsidRPr="00BF0729">
        <w:rPr>
          <w:b/>
          <w:i/>
        </w:rPr>
        <w:t>Policy CI 2.10</w:t>
      </w:r>
      <w:r w:rsidRPr="00BF0729">
        <w:rPr>
          <w:i/>
        </w:rPr>
        <w:tab/>
        <w:t>Continue to provide secure bicycle racks in the Hub, future and existing commercial areas, park</w:t>
      </w:r>
      <w:r w:rsidRPr="00BF0729">
        <w:rPr>
          <w:i/>
        </w:rPr>
        <w:noBreakHyphen/>
        <w:t>and</w:t>
      </w:r>
      <w:r w:rsidRPr="00BF0729">
        <w:rPr>
          <w:i/>
        </w:rPr>
        <w:noBreakHyphen/>
        <w:t>ride transit facilities, schools, and multiple unit residential developments.</w:t>
      </w:r>
    </w:p>
    <w:p w:rsidR="00C31146" w:rsidRPr="00BF0729" w:rsidRDefault="00C31146" w:rsidP="00C31146">
      <w:pPr>
        <w:pStyle w:val="Policy"/>
        <w:ind w:left="0"/>
        <w:rPr>
          <w:i/>
        </w:rPr>
      </w:pPr>
      <w:r w:rsidRPr="00BF0729">
        <w:rPr>
          <w:b/>
          <w:i/>
        </w:rPr>
        <w:lastRenderedPageBreak/>
        <w:t>Policy CI 2.18</w:t>
      </w:r>
      <w:r w:rsidRPr="00BF0729">
        <w:rPr>
          <w:i/>
        </w:rPr>
        <w:tab/>
        <w:t>Pursue improvements and funding to increase transit ridership, increase transit frequencies on key corridors, increase the hours of transit operation, and expand regular transit service in portions of Cotati that currently have no public transit.</w:t>
      </w:r>
    </w:p>
    <w:p w:rsidR="00C31146" w:rsidRPr="00BF0729" w:rsidRDefault="00C31146" w:rsidP="00C31146">
      <w:pPr>
        <w:rPr>
          <w:rFonts w:eastAsia="Calibri"/>
          <w:i/>
        </w:rPr>
      </w:pPr>
      <w:r w:rsidRPr="00BF0729">
        <w:rPr>
          <w:rFonts w:eastAsia="Calibri"/>
          <w:b/>
          <w:i/>
        </w:rPr>
        <w:t xml:space="preserve">Policy CI 2.19 </w:t>
      </w:r>
      <w:r w:rsidRPr="00BF0729">
        <w:rPr>
          <w:rFonts w:eastAsia="Calibri"/>
          <w:b/>
          <w:i/>
        </w:rPr>
        <w:tab/>
      </w:r>
      <w:r w:rsidRPr="00BF0729">
        <w:rPr>
          <w:rFonts w:eastAsia="Calibri"/>
          <w:i/>
        </w:rPr>
        <w:t>Establish the SMART multi-modal transit station on East Cotati Avenue and Santero Way to provide a link between commuter rail, bus, pedestrian, and bicycle travel and to provide retail and services to serve SMART transit users.</w:t>
      </w:r>
    </w:p>
    <w:p w:rsidR="00C31146" w:rsidRPr="00BF0729" w:rsidRDefault="00C31146" w:rsidP="00C31146">
      <w:pPr>
        <w:pStyle w:val="Policy"/>
        <w:ind w:left="0"/>
        <w:rPr>
          <w:i/>
        </w:rPr>
      </w:pPr>
      <w:r w:rsidRPr="00BF0729">
        <w:rPr>
          <w:b/>
          <w:i/>
        </w:rPr>
        <w:t>Policy CI 2.20</w:t>
      </w:r>
      <w:r w:rsidRPr="00BF0729">
        <w:rPr>
          <w:i/>
        </w:rPr>
        <w:tab/>
        <w:t>Ensure that effective transit linkages are in place between the SMART commuter rail station and the City’s primary activity and employment centers.</w:t>
      </w:r>
    </w:p>
    <w:p w:rsidR="00C31146" w:rsidRPr="00BF0729" w:rsidRDefault="00C31146" w:rsidP="00C31146">
      <w:pPr>
        <w:pStyle w:val="Policy"/>
        <w:ind w:left="0"/>
        <w:rPr>
          <w:i/>
        </w:rPr>
      </w:pPr>
      <w:r w:rsidRPr="00BF0729">
        <w:rPr>
          <w:b/>
          <w:i/>
        </w:rPr>
        <w:t>Policy CI 2.21</w:t>
      </w:r>
      <w:r w:rsidRPr="00BF0729">
        <w:rPr>
          <w:i/>
        </w:rPr>
        <w:tab/>
        <w:t>Coordinate with SMART in seeking opportunities to fund and construct improvements that improve multimodal access to the Cotati rail station.</w:t>
      </w:r>
    </w:p>
    <w:p w:rsidR="00C31146" w:rsidRPr="00BF0729" w:rsidRDefault="00C31146" w:rsidP="00C31146">
      <w:pPr>
        <w:pStyle w:val="Policy"/>
        <w:ind w:left="0"/>
        <w:rPr>
          <w:i/>
        </w:rPr>
      </w:pPr>
      <w:r w:rsidRPr="00BF0729">
        <w:rPr>
          <w:b/>
          <w:i/>
        </w:rPr>
        <w:t>Policy CI 3.1</w:t>
      </w:r>
      <w:r w:rsidRPr="00BF0729">
        <w:rPr>
          <w:i/>
        </w:rPr>
        <w:tab/>
        <w:t>Actively support the Regional Climate Protection Authority (RCPA) in its efforts to reduce GHG emissions to a level that is 25% below 1990 levels by 2015 and 40% below 1990 levels by 2035.</w:t>
      </w:r>
    </w:p>
    <w:p w:rsidR="00C31146" w:rsidRPr="00BF0729" w:rsidRDefault="00C31146" w:rsidP="00C31146">
      <w:pPr>
        <w:pStyle w:val="Policy"/>
        <w:ind w:left="0"/>
        <w:rPr>
          <w:i/>
        </w:rPr>
      </w:pPr>
      <w:r w:rsidRPr="00BF0729">
        <w:rPr>
          <w:b/>
          <w:i/>
        </w:rPr>
        <w:t>Policy CI 3.2</w:t>
      </w:r>
      <w:r w:rsidRPr="00BF0729">
        <w:rPr>
          <w:i/>
        </w:rPr>
        <w:tab/>
        <w:t>Work with RCPA to identify the need for and locations of additional park-and-ride lots in Cotati in order to increase the number of trips made by transit and carpooling.</w:t>
      </w:r>
    </w:p>
    <w:p w:rsidR="00C31146" w:rsidRPr="00BF0729" w:rsidRDefault="00C31146" w:rsidP="00C31146">
      <w:pPr>
        <w:pStyle w:val="Policy"/>
        <w:ind w:left="0"/>
        <w:rPr>
          <w:i/>
        </w:rPr>
      </w:pPr>
      <w:r w:rsidRPr="00BF0729">
        <w:rPr>
          <w:b/>
          <w:i/>
        </w:rPr>
        <w:t>Policy CI 3.3</w:t>
      </w:r>
      <w:r w:rsidRPr="00BF0729">
        <w:rPr>
          <w:i/>
        </w:rPr>
        <w:tab/>
        <w:t>Work with major employers and representatives from Sonoma State University to implement Transportation Demand Management (TDM) programs.  Examples of TDM programs may include (but are not limited to) subsidized transit passes, guaranteed ride home, carpool matching, telecommuting, alternative work schedules, car sharing, employer-sponsored vanpools, priced workplace parking, and preferential parking for carpools and/or low-emission vehicles.</w:t>
      </w:r>
    </w:p>
    <w:p w:rsidR="00C31146" w:rsidRPr="00BF0729" w:rsidRDefault="00C31146" w:rsidP="00C31146">
      <w:pPr>
        <w:pStyle w:val="Policy"/>
        <w:ind w:left="0"/>
        <w:rPr>
          <w:i/>
        </w:rPr>
      </w:pPr>
      <w:r w:rsidRPr="00BF0729">
        <w:rPr>
          <w:b/>
          <w:i/>
        </w:rPr>
        <w:t>Policy CI 3.4</w:t>
      </w:r>
      <w:r w:rsidRPr="00BF0729">
        <w:rPr>
          <w:i/>
        </w:rPr>
        <w:tab/>
        <w:t xml:space="preserve">Coordinate with Sonoma State University to minimize traffic impacts through strategic scheduling of classes and major events, implementation of TDM measures, and on-campus parking management. </w:t>
      </w:r>
    </w:p>
    <w:p w:rsidR="00C31146" w:rsidRPr="00BF0729" w:rsidRDefault="00C31146" w:rsidP="00C31146">
      <w:pPr>
        <w:rPr>
          <w:rFonts w:eastAsia="Calibri"/>
          <w:i/>
          <w:color w:val="1D1B11"/>
        </w:rPr>
      </w:pPr>
      <w:r w:rsidRPr="00BF0729">
        <w:rPr>
          <w:rFonts w:eastAsia="Calibri"/>
          <w:b/>
          <w:i/>
          <w:color w:val="1D1B11"/>
        </w:rPr>
        <w:t>Policy LU 1.4:</w:t>
      </w:r>
      <w:r w:rsidRPr="00BF0729">
        <w:rPr>
          <w:rFonts w:eastAsia="Calibri"/>
          <w:i/>
          <w:color w:val="1D1B11"/>
        </w:rPr>
        <w:t xml:space="preserve"> Require new development to occur in a logical and orderly manner, focusing growth on infill locations and areas designated for urbanization on the Land Use Map (see Figure 7-1), and be subject to the ability to provide urban services, including paying for any needed extension of services.  </w:t>
      </w:r>
    </w:p>
    <w:p w:rsidR="00C31146" w:rsidRPr="00BF0729" w:rsidRDefault="00C31146" w:rsidP="00C31146">
      <w:pPr>
        <w:rPr>
          <w:rFonts w:eastAsia="Calibri"/>
          <w:i/>
          <w:color w:val="1D1B11"/>
        </w:rPr>
      </w:pPr>
      <w:r w:rsidRPr="00BF0729">
        <w:rPr>
          <w:rFonts w:eastAsia="Calibri"/>
          <w:b/>
          <w:i/>
          <w:color w:val="1D1B11"/>
        </w:rPr>
        <w:t xml:space="preserve">Policy LU 1.5:  </w:t>
      </w:r>
      <w:r w:rsidRPr="00BF0729">
        <w:rPr>
          <w:rFonts w:eastAsia="Calibri"/>
          <w:i/>
          <w:color w:val="1D1B11"/>
        </w:rPr>
        <w:t xml:space="preserve">Use sustainable, best management practices in green building, stormwater management, and conservation to mitigate infrastructure impacts, while minimizing effects on water, sewer, and energy resources. </w:t>
      </w:r>
    </w:p>
    <w:p w:rsidR="00C31146" w:rsidRPr="00BF0729" w:rsidRDefault="00C31146" w:rsidP="00C31146">
      <w:pPr>
        <w:rPr>
          <w:rFonts w:eastAsia="Calibri"/>
          <w:i/>
          <w:color w:val="1D1B11"/>
        </w:rPr>
      </w:pPr>
      <w:r w:rsidRPr="00BF0729">
        <w:rPr>
          <w:rFonts w:eastAsia="Calibri"/>
          <w:b/>
          <w:i/>
          <w:color w:val="1D1B11"/>
        </w:rPr>
        <w:t>Policy LU 2.2:</w:t>
      </w:r>
      <w:r w:rsidRPr="00BF0729">
        <w:rPr>
          <w:rFonts w:eastAsia="Calibri"/>
          <w:i/>
          <w:color w:val="1D1B11"/>
        </w:rPr>
        <w:t xml:space="preserve">  Encourage clustering of housing so that larger areas of open space may be permanently preserved.</w:t>
      </w:r>
    </w:p>
    <w:p w:rsidR="00C31146" w:rsidRPr="00BF0729" w:rsidRDefault="00C31146" w:rsidP="00C31146">
      <w:pPr>
        <w:pStyle w:val="Policy"/>
        <w:ind w:left="0"/>
        <w:rPr>
          <w:i/>
        </w:rPr>
      </w:pPr>
      <w:r w:rsidRPr="00BF0729">
        <w:rPr>
          <w:b/>
          <w:i/>
        </w:rPr>
        <w:t xml:space="preserve">Policy LU 2.5:  </w:t>
      </w:r>
      <w:r w:rsidRPr="00BF0729">
        <w:rPr>
          <w:i/>
        </w:rPr>
        <w:t>Locate medium and higher density housing within easy walking or bicycling distance of public facilities, services, transit, and major employers.</w:t>
      </w:r>
    </w:p>
    <w:p w:rsidR="00C31146" w:rsidRPr="00BF0729" w:rsidRDefault="00C31146" w:rsidP="00C31146">
      <w:pPr>
        <w:pStyle w:val="Policy"/>
        <w:ind w:left="0"/>
        <w:rPr>
          <w:rFonts w:eastAsia="Calibri"/>
          <w:i/>
          <w:szCs w:val="22"/>
        </w:rPr>
      </w:pPr>
      <w:r w:rsidRPr="00BF0729">
        <w:rPr>
          <w:b/>
          <w:i/>
        </w:rPr>
        <w:t>Policy LU 2.10:</w:t>
      </w:r>
      <w:r w:rsidRPr="00BF0729">
        <w:rPr>
          <w:i/>
        </w:rPr>
        <w:t xml:space="preserve"> </w:t>
      </w:r>
      <w:r w:rsidRPr="00BF0729">
        <w:rPr>
          <w:rFonts w:eastAsia="Calibri"/>
          <w:i/>
          <w:szCs w:val="22"/>
        </w:rPr>
        <w:t xml:space="preserve">Encourage mixed-use, pedestrian-, and transit-oriented development, with a focus on the Hub and major corridors. </w:t>
      </w:r>
    </w:p>
    <w:p w:rsidR="00C31146" w:rsidRPr="00BF0729" w:rsidRDefault="00C31146" w:rsidP="00C31146">
      <w:pPr>
        <w:pStyle w:val="Policy"/>
        <w:ind w:left="0"/>
        <w:rPr>
          <w:i/>
        </w:rPr>
      </w:pPr>
      <w:r w:rsidRPr="00BF0729">
        <w:rPr>
          <w:b/>
          <w:i/>
        </w:rPr>
        <w:t>Policy LU 3.8:</w:t>
      </w:r>
      <w:r w:rsidRPr="00BF0729">
        <w:rPr>
          <w:i/>
        </w:rPr>
        <w:t xml:space="preserve">  Design future commercial retail with a pedestrian and bicyclist orientation.</w:t>
      </w:r>
    </w:p>
    <w:p w:rsidR="00C31146" w:rsidRPr="00BF0729" w:rsidRDefault="00C31146" w:rsidP="00C31146">
      <w:pPr>
        <w:pStyle w:val="Policy"/>
        <w:ind w:left="0"/>
        <w:rPr>
          <w:rFonts w:eastAsia="Calibri"/>
          <w:i/>
          <w:szCs w:val="22"/>
        </w:rPr>
      </w:pPr>
      <w:r w:rsidRPr="00BF0729">
        <w:rPr>
          <w:rFonts w:eastAsia="Calibri"/>
          <w:b/>
          <w:i/>
          <w:szCs w:val="22"/>
        </w:rPr>
        <w:t>Policy OS 1.1:</w:t>
      </w:r>
      <w:r w:rsidRPr="00BF0729">
        <w:rPr>
          <w:rFonts w:eastAsia="Calibri"/>
          <w:i/>
          <w:szCs w:val="22"/>
        </w:rPr>
        <w:t xml:space="preserve">  The Open Space/Parks, Agricultural, and Rural Residential General Plan Land Use designations and waterways (Cotati Creek, Laguna de Santa Rosa, etc.) shall be considered Open Space uses.</w:t>
      </w:r>
    </w:p>
    <w:p w:rsidR="00C31146" w:rsidRPr="00BF0729" w:rsidRDefault="00C31146" w:rsidP="00C31146">
      <w:pPr>
        <w:pStyle w:val="Policy"/>
        <w:spacing w:after="160"/>
        <w:ind w:left="0"/>
        <w:rPr>
          <w:rFonts w:eastAsia="Calibri"/>
          <w:i/>
          <w:szCs w:val="22"/>
        </w:rPr>
      </w:pPr>
      <w:r w:rsidRPr="00BF0729">
        <w:rPr>
          <w:rFonts w:eastAsia="Calibri"/>
          <w:b/>
          <w:i/>
          <w:szCs w:val="22"/>
        </w:rPr>
        <w:t>Policy OS 1.2:</w:t>
      </w:r>
      <w:r w:rsidRPr="00BF0729">
        <w:rPr>
          <w:rFonts w:eastAsia="Calibri"/>
          <w:i/>
          <w:szCs w:val="22"/>
        </w:rPr>
        <w:t xml:space="preserve">  Preserve designated open space for conservation, recreation, and agricultural uses.</w:t>
      </w:r>
    </w:p>
    <w:p w:rsidR="00C31146" w:rsidRPr="00BF0729" w:rsidRDefault="00C31146" w:rsidP="00C31146">
      <w:pPr>
        <w:pStyle w:val="Policy"/>
        <w:ind w:left="0"/>
        <w:rPr>
          <w:rFonts w:eastAsia="Calibri"/>
          <w:i/>
          <w:szCs w:val="22"/>
        </w:rPr>
      </w:pPr>
      <w:r w:rsidRPr="00BF0729">
        <w:rPr>
          <w:rFonts w:eastAsia="Calibri"/>
          <w:b/>
          <w:i/>
          <w:szCs w:val="22"/>
        </w:rPr>
        <w:t>Policy OS 1.3:</w:t>
      </w:r>
      <w:r w:rsidRPr="00BF0729">
        <w:rPr>
          <w:rFonts w:eastAsia="Calibri"/>
          <w:i/>
          <w:szCs w:val="22"/>
        </w:rPr>
        <w:t xml:space="preserve">  Protect rural (Agricultural and Rural Residential) and natural open space lands from urbanization (see Figure 9.1).  </w:t>
      </w:r>
    </w:p>
    <w:p w:rsidR="00C31146" w:rsidRPr="00BF0729" w:rsidRDefault="00C31146" w:rsidP="00C31146">
      <w:pPr>
        <w:pStyle w:val="Policy"/>
        <w:ind w:left="0"/>
        <w:rPr>
          <w:rFonts w:eastAsia="Calibri"/>
          <w:i/>
          <w:szCs w:val="22"/>
        </w:rPr>
      </w:pPr>
      <w:r w:rsidRPr="00BF0729">
        <w:rPr>
          <w:rFonts w:eastAsia="Calibri"/>
          <w:b/>
          <w:i/>
          <w:szCs w:val="22"/>
        </w:rPr>
        <w:t>Policy OS 1.4:</w:t>
      </w:r>
      <w:r w:rsidRPr="00BF0729">
        <w:rPr>
          <w:rFonts w:eastAsia="Calibri"/>
          <w:i/>
          <w:szCs w:val="22"/>
        </w:rPr>
        <w:t xml:space="preserve">  Where possible, integrate open space and stream corridors, such as the Laguna de Santa Rosa, with trails and other recreational open space in an environmentally sustainable manner.  </w:t>
      </w:r>
    </w:p>
    <w:p w:rsidR="00C31146" w:rsidRPr="00BF0729" w:rsidRDefault="00C31146" w:rsidP="00C31146">
      <w:pPr>
        <w:pStyle w:val="Policy"/>
        <w:ind w:left="0"/>
        <w:rPr>
          <w:rFonts w:eastAsia="Calibri"/>
          <w:i/>
          <w:szCs w:val="22"/>
        </w:rPr>
      </w:pPr>
      <w:r w:rsidRPr="00BF0729">
        <w:rPr>
          <w:rFonts w:eastAsia="Calibri"/>
          <w:b/>
          <w:i/>
          <w:szCs w:val="22"/>
        </w:rPr>
        <w:t>Policy OS 1.5:</w:t>
      </w:r>
      <w:r w:rsidRPr="00BF0729">
        <w:rPr>
          <w:rFonts w:eastAsia="Calibri"/>
          <w:i/>
          <w:szCs w:val="22"/>
        </w:rPr>
        <w:t xml:space="preserve">  Recognize urban open space as essential to maintaining a high quality of life within the City limits.</w:t>
      </w:r>
    </w:p>
    <w:p w:rsidR="00C31146" w:rsidRPr="00BF0729" w:rsidRDefault="00C31146" w:rsidP="00C31146">
      <w:pPr>
        <w:pStyle w:val="Policy"/>
        <w:ind w:left="0"/>
        <w:rPr>
          <w:rFonts w:eastAsia="Calibri"/>
          <w:i/>
          <w:szCs w:val="22"/>
        </w:rPr>
      </w:pPr>
      <w:r w:rsidRPr="00BF0729">
        <w:rPr>
          <w:rFonts w:eastAsia="Calibri"/>
          <w:b/>
          <w:i/>
          <w:szCs w:val="22"/>
        </w:rPr>
        <w:t>Policy OS 1.6:</w:t>
      </w:r>
      <w:r w:rsidRPr="00BF0729">
        <w:rPr>
          <w:rFonts w:eastAsia="Calibri"/>
          <w:i/>
          <w:szCs w:val="22"/>
        </w:rPr>
        <w:t xml:space="preserve">  Support regional and local natural resource preservation plans of public agencies that retain and protect open space within the City, Sphere of Influence, and Urban Growth Boundary.</w:t>
      </w:r>
    </w:p>
    <w:p w:rsidR="00C31146" w:rsidRPr="00BF0729" w:rsidRDefault="00C31146" w:rsidP="00C31146">
      <w:pPr>
        <w:pStyle w:val="Policy"/>
        <w:ind w:left="0"/>
        <w:rPr>
          <w:rFonts w:eastAsia="Calibri"/>
          <w:i/>
          <w:szCs w:val="22"/>
        </w:rPr>
      </w:pPr>
      <w:r w:rsidRPr="00BF0729">
        <w:rPr>
          <w:rFonts w:eastAsia="Calibri"/>
          <w:b/>
          <w:i/>
          <w:szCs w:val="22"/>
        </w:rPr>
        <w:t>Policy OS 1.10:</w:t>
      </w:r>
      <w:r w:rsidRPr="00BF0729">
        <w:rPr>
          <w:rFonts w:eastAsia="Calibri"/>
          <w:i/>
          <w:szCs w:val="22"/>
        </w:rPr>
        <w:t xml:space="preserve">  Require residential development, with the exception of rural and low density residential, to be contiguous to existing urban development.</w:t>
      </w:r>
    </w:p>
    <w:p w:rsidR="00C31146" w:rsidRPr="00BF0729" w:rsidRDefault="00C31146" w:rsidP="00C31146">
      <w:pPr>
        <w:pStyle w:val="Policy"/>
        <w:ind w:left="0"/>
        <w:rPr>
          <w:rFonts w:eastAsia="Calibri"/>
          <w:i/>
          <w:szCs w:val="22"/>
        </w:rPr>
      </w:pPr>
      <w:r w:rsidRPr="00BF0729">
        <w:rPr>
          <w:rFonts w:eastAsia="Calibri"/>
          <w:b/>
          <w:i/>
          <w:szCs w:val="22"/>
        </w:rPr>
        <w:t>Policy OS 1.11:</w:t>
      </w:r>
      <w:r w:rsidRPr="00BF0729">
        <w:rPr>
          <w:rFonts w:eastAsia="Calibri"/>
          <w:i/>
          <w:szCs w:val="22"/>
        </w:rPr>
        <w:t xml:space="preserve"> Encourage clustered development that preserves a sense of openness, particularly in areas adjacent to open spaces and scenic resources.</w:t>
      </w:r>
    </w:p>
    <w:p w:rsidR="00C31146" w:rsidRPr="007520F0" w:rsidRDefault="00C31146" w:rsidP="00C31146">
      <w:pPr>
        <w:pStyle w:val="Action"/>
        <w:spacing w:after="120"/>
        <w:ind w:left="0"/>
        <w:rPr>
          <w:u w:val="single"/>
        </w:rPr>
      </w:pPr>
      <w:r>
        <w:rPr>
          <w:u w:val="single"/>
        </w:rPr>
        <w:t>Actions</w:t>
      </w:r>
    </w:p>
    <w:p w:rsidR="00C31146" w:rsidRPr="00CD0DC7" w:rsidRDefault="00C31146" w:rsidP="00C31146">
      <w:pPr>
        <w:pStyle w:val="Policy"/>
        <w:ind w:left="0"/>
        <w:rPr>
          <w:i/>
        </w:rPr>
      </w:pPr>
      <w:r w:rsidRPr="00CD0DC7">
        <w:rPr>
          <w:i/>
          <w:u w:val="single"/>
        </w:rPr>
        <w:t>Action CON 2e</w:t>
      </w:r>
      <w:r w:rsidRPr="00CD0DC7">
        <w:rPr>
          <w:i/>
        </w:rPr>
        <w:t>:</w:t>
      </w:r>
      <w:r w:rsidRPr="00CD0DC7">
        <w:rPr>
          <w:i/>
        </w:rPr>
        <w:tab/>
        <w:t xml:space="preserve">  Continue to review new development, significant remodels, and infrastructure projects for consistency with the Sonoma County Community Climate Action Plan</w:t>
      </w:r>
      <w:r>
        <w:rPr>
          <w:i/>
        </w:rPr>
        <w:t xml:space="preserve"> and Greenhouse Gas Reduction and Implementation Plan (GRIP)</w:t>
      </w:r>
      <w:r w:rsidRPr="00CD0DC7">
        <w:rPr>
          <w:i/>
        </w:rPr>
        <w:t xml:space="preserve">. </w:t>
      </w:r>
    </w:p>
    <w:p w:rsidR="00C31146" w:rsidRPr="00CD0DC7" w:rsidRDefault="00C31146" w:rsidP="00C31146">
      <w:pPr>
        <w:pStyle w:val="Policy"/>
        <w:ind w:left="0"/>
        <w:rPr>
          <w:rFonts w:eastAsia="Calibri"/>
          <w:bCs w:val="0"/>
          <w:i/>
          <w:szCs w:val="22"/>
        </w:rPr>
      </w:pPr>
      <w:r w:rsidRPr="00CD0DC7">
        <w:rPr>
          <w:i/>
          <w:u w:val="single"/>
        </w:rPr>
        <w:t>Action CON 2f</w:t>
      </w:r>
      <w:r w:rsidRPr="00CD0DC7">
        <w:rPr>
          <w:i/>
        </w:rPr>
        <w:t xml:space="preserve">:  Regularly monitor and track the City’s progress towards meeting the municipal GHG reduction goals contained in the 2008 </w:t>
      </w:r>
      <w:r w:rsidRPr="00CD0DC7">
        <w:rPr>
          <w:rFonts w:eastAsia="Calibri"/>
          <w:bCs w:val="0"/>
          <w:i/>
          <w:szCs w:val="22"/>
        </w:rPr>
        <w:t>Cotati Greenhouse Gas Emissions Reduction Action Plan.</w:t>
      </w:r>
    </w:p>
    <w:p w:rsidR="00C31146" w:rsidRDefault="00C31146" w:rsidP="00C31146">
      <w:pPr>
        <w:pStyle w:val="Policy"/>
        <w:ind w:left="0"/>
        <w:rPr>
          <w:rFonts w:eastAsia="Calibri"/>
          <w:bCs w:val="0"/>
          <w:i/>
          <w:szCs w:val="22"/>
        </w:rPr>
      </w:pPr>
      <w:r w:rsidRPr="00CD0DC7">
        <w:rPr>
          <w:i/>
          <w:u w:val="single"/>
        </w:rPr>
        <w:t>Action CON 2g:</w:t>
      </w:r>
      <w:r w:rsidRPr="00CD0DC7">
        <w:rPr>
          <w:i/>
        </w:rPr>
        <w:t xml:space="preserve">  Update the City’s 2008 </w:t>
      </w:r>
      <w:r w:rsidRPr="00CD0DC7">
        <w:rPr>
          <w:rFonts w:eastAsia="Calibri"/>
          <w:bCs w:val="0"/>
          <w:i/>
          <w:szCs w:val="22"/>
        </w:rPr>
        <w:t xml:space="preserve">Greenhouse Gas Emissions Reduction Action Plan every five years, or more frequently if the City Council deems appropriate, to make progress towards the City’s GHG reduction goals.  </w:t>
      </w:r>
    </w:p>
    <w:p w:rsidR="00C31146" w:rsidRPr="00CD0DC7" w:rsidRDefault="00C31146" w:rsidP="00C31146">
      <w:pPr>
        <w:pStyle w:val="Policy"/>
        <w:tabs>
          <w:tab w:val="clear" w:pos="720"/>
          <w:tab w:val="left" w:pos="630"/>
          <w:tab w:val="left" w:pos="1440"/>
        </w:tabs>
        <w:ind w:left="0"/>
        <w:rPr>
          <w:i/>
          <w:u w:val="single"/>
        </w:rPr>
      </w:pPr>
      <w:r w:rsidRPr="00CD0DC7">
        <w:rPr>
          <w:i/>
          <w:u w:val="single"/>
        </w:rPr>
        <w:t>Action CON 3a</w:t>
      </w:r>
      <w:r w:rsidRPr="00CD0DC7">
        <w:rPr>
          <w:i/>
        </w:rPr>
        <w:t>:  Continue to review development projects to ensure that all new public and privately development complies with CALGreen Tier 1 standards as well as the energy efficiency standards established by the General Plan and Land Use Code.</w:t>
      </w:r>
    </w:p>
    <w:p w:rsidR="00C31146" w:rsidRPr="00CD0DC7" w:rsidRDefault="00C31146" w:rsidP="00C31146">
      <w:pPr>
        <w:pStyle w:val="Policy"/>
        <w:tabs>
          <w:tab w:val="clear" w:pos="720"/>
          <w:tab w:val="left" w:pos="990"/>
        </w:tabs>
        <w:ind w:left="0"/>
      </w:pPr>
      <w:r w:rsidRPr="00CD0DC7">
        <w:rPr>
          <w:i/>
          <w:u w:val="single"/>
        </w:rPr>
        <w:t>Action CON 3b</w:t>
      </w:r>
      <w:r w:rsidRPr="00CD0DC7">
        <w:rPr>
          <w:i/>
        </w:rPr>
        <w:t>:</w:t>
      </w:r>
      <w:r w:rsidRPr="00CD0DC7">
        <w:tab/>
        <w:t xml:space="preserve"> </w:t>
      </w:r>
      <w:r w:rsidRPr="00CD0DC7">
        <w:rPr>
          <w:i/>
        </w:rPr>
        <w:t xml:space="preserve">Amend the Land Use Code to include a requirement that all new swimming pools be solar heated.  </w:t>
      </w:r>
    </w:p>
    <w:p w:rsidR="00C31146" w:rsidRPr="00CD0DC7" w:rsidRDefault="00C31146" w:rsidP="00C31146">
      <w:pPr>
        <w:pStyle w:val="Policy"/>
        <w:tabs>
          <w:tab w:val="clear" w:pos="720"/>
          <w:tab w:val="left" w:pos="990"/>
        </w:tabs>
        <w:ind w:left="0"/>
      </w:pPr>
      <w:r w:rsidRPr="00CD0DC7">
        <w:rPr>
          <w:i/>
          <w:u w:val="single"/>
        </w:rPr>
        <w:t>Action CON 3c</w:t>
      </w:r>
      <w:r w:rsidRPr="00CD0DC7">
        <w:t xml:space="preserve">:  </w:t>
      </w:r>
      <w:r w:rsidRPr="00CD0DC7">
        <w:rPr>
          <w:i/>
        </w:rPr>
        <w:t>Connect residents and businesses with programs that provide free or low-cost energy efficiency audits and retrofits to existing buildings.</w:t>
      </w:r>
      <w:r w:rsidRPr="00CD0DC7">
        <w:t xml:space="preserve">  </w:t>
      </w:r>
    </w:p>
    <w:p w:rsidR="00C31146" w:rsidRPr="00CD0DC7" w:rsidRDefault="00C31146" w:rsidP="00C31146">
      <w:pPr>
        <w:pStyle w:val="Policy"/>
        <w:tabs>
          <w:tab w:val="clear" w:pos="720"/>
          <w:tab w:val="left" w:pos="990"/>
        </w:tabs>
        <w:ind w:left="0"/>
      </w:pPr>
      <w:r w:rsidRPr="00CD0DC7">
        <w:rPr>
          <w:i/>
          <w:u w:val="single"/>
        </w:rPr>
        <w:t>Action CON 3d</w:t>
      </w:r>
      <w:r w:rsidRPr="00CD0DC7">
        <w:t xml:space="preserve">:  </w:t>
      </w:r>
      <w:r w:rsidRPr="00CD0DC7">
        <w:rPr>
          <w:i/>
        </w:rPr>
        <w:t>Amend the Municipal Code to incentive the use of small-scale renewable energy facilities and, where appropriate, to remove impediments to such uses.</w:t>
      </w:r>
      <w:r w:rsidRPr="00CD0DC7">
        <w:t xml:space="preserve">  </w:t>
      </w:r>
    </w:p>
    <w:p w:rsidR="00C31146" w:rsidRDefault="00C31146" w:rsidP="00C31146">
      <w:pPr>
        <w:pStyle w:val="Action"/>
        <w:ind w:left="0"/>
      </w:pPr>
      <w:r w:rsidRPr="00C62B96">
        <w:rPr>
          <w:u w:val="single"/>
        </w:rPr>
        <w:t>Action CI 1</w:t>
      </w:r>
      <w:r>
        <w:rPr>
          <w:u w:val="single"/>
        </w:rPr>
        <w:t>q</w:t>
      </w:r>
      <w:r w:rsidRPr="00C62B96">
        <w:rPr>
          <w:u w:val="single"/>
        </w:rPr>
        <w:t>:</w:t>
      </w:r>
      <w:r w:rsidRPr="00041770">
        <w:tab/>
      </w:r>
      <w:r>
        <w:t>As part of the development review process</w:t>
      </w:r>
      <w:r w:rsidRPr="00041770">
        <w:t>, ensure that new development facilitates walking, biking, and transit modes; incorporates streets that are designed to maintain safe and efficient traffic flow; provides off-site improvements necessary to mitigate traffic impacts; provides adequate eme</w:t>
      </w:r>
      <w:r>
        <w:t xml:space="preserve">rgency vehicle access; and pays </w:t>
      </w:r>
      <w:r w:rsidRPr="00041770">
        <w:t xml:space="preserve">development impact fees that contribute </w:t>
      </w:r>
      <w:r>
        <w:t>to</w:t>
      </w:r>
      <w:r w:rsidRPr="00041770">
        <w:t xml:space="preserve"> cumulative circulation improvements.</w:t>
      </w:r>
    </w:p>
    <w:p w:rsidR="00C31146" w:rsidRDefault="00C31146" w:rsidP="00C31146">
      <w:pPr>
        <w:pStyle w:val="Action"/>
        <w:ind w:left="0"/>
      </w:pPr>
      <w:r w:rsidRPr="00C62B96">
        <w:rPr>
          <w:u w:val="single"/>
        </w:rPr>
        <w:t>Action CI 2a</w:t>
      </w:r>
      <w:r>
        <w:t>:</w:t>
      </w:r>
      <w:r>
        <w:tab/>
        <w:t>As part of the development process, review</w:t>
      </w:r>
      <w:r w:rsidRPr="00B13EFB">
        <w:t xml:space="preserve"> development </w:t>
      </w:r>
      <w:r>
        <w:t>applications</w:t>
      </w:r>
      <w:r w:rsidRPr="00B13EFB">
        <w:t xml:space="preserve"> </w:t>
      </w:r>
      <w:r>
        <w:t xml:space="preserve">to ensure </w:t>
      </w:r>
      <w:r w:rsidRPr="00B13EFB">
        <w:t xml:space="preserve">compliance with </w:t>
      </w:r>
      <w:r>
        <w:t>the City’s Bicycle and Pedestrian Master Plan</w:t>
      </w:r>
      <w:r w:rsidRPr="00B13EFB">
        <w:t>.</w:t>
      </w:r>
    </w:p>
    <w:p w:rsidR="00C31146" w:rsidRPr="00B45827" w:rsidRDefault="00C31146" w:rsidP="00C31146">
      <w:pPr>
        <w:pStyle w:val="Action"/>
        <w:ind w:left="0"/>
      </w:pPr>
      <w:r w:rsidRPr="00C62B96">
        <w:rPr>
          <w:u w:val="single"/>
        </w:rPr>
        <w:t>Action CI 2</w:t>
      </w:r>
      <w:r>
        <w:rPr>
          <w:u w:val="single"/>
        </w:rPr>
        <w:t>i</w:t>
      </w:r>
      <w:r w:rsidRPr="00C62B96">
        <w:rPr>
          <w:u w:val="single"/>
        </w:rPr>
        <w:t>:</w:t>
      </w:r>
      <w:r w:rsidRPr="008C7D5B">
        <w:tab/>
        <w:t xml:space="preserve">As funding becomes available, the City </w:t>
      </w:r>
      <w:r>
        <w:t>should encourage</w:t>
      </w:r>
      <w:r w:rsidRPr="008C7D5B">
        <w:t xml:space="preserve"> Sonoma County Transit to provide more frequent headways</w:t>
      </w:r>
      <w:r>
        <w:t xml:space="preserve">, </w:t>
      </w:r>
      <w:r w:rsidRPr="00B45827">
        <w:t>extend service hours, and serve a greater portion of the City.  The City would review and renew the contract as necessary.</w:t>
      </w:r>
    </w:p>
    <w:p w:rsidR="00C31146" w:rsidRPr="00B45827" w:rsidRDefault="00C31146" w:rsidP="00C31146">
      <w:pPr>
        <w:pStyle w:val="ActionDetail"/>
        <w:ind w:left="1080"/>
        <w:rPr>
          <w:color w:val="1D1B11"/>
        </w:rPr>
      </w:pPr>
      <w:r w:rsidRPr="00B45827">
        <w:rPr>
          <w:color w:val="1D1B11"/>
        </w:rPr>
        <w:t>Bus headways of 30 minutes or less are desirable on routes serving Old Redwood Highway and East Cotati Avenue.</w:t>
      </w:r>
    </w:p>
    <w:p w:rsidR="00C31146" w:rsidRPr="00B45827" w:rsidRDefault="00C31146" w:rsidP="00C31146">
      <w:pPr>
        <w:pStyle w:val="ActionDetail"/>
        <w:ind w:left="1080"/>
        <w:rPr>
          <w:color w:val="1D1B11"/>
        </w:rPr>
      </w:pPr>
      <w:r w:rsidRPr="00B45827">
        <w:rPr>
          <w:color w:val="1D1B11"/>
        </w:rPr>
        <w:t>Local bus service operating until 10 PM would be desirable.</w:t>
      </w:r>
    </w:p>
    <w:p w:rsidR="00C31146" w:rsidRPr="00B45827" w:rsidRDefault="00C31146" w:rsidP="00C31146">
      <w:pPr>
        <w:pStyle w:val="ActionDetail"/>
        <w:ind w:left="1080"/>
        <w:rPr>
          <w:color w:val="1D1B11"/>
        </w:rPr>
      </w:pPr>
      <w:r w:rsidRPr="00B45827">
        <w:rPr>
          <w:color w:val="1D1B11"/>
        </w:rPr>
        <w:t>New or modified routes that serve the southern and western portions of Cotati should be prioritized.</w:t>
      </w:r>
    </w:p>
    <w:p w:rsidR="00C31146" w:rsidRPr="00B45827" w:rsidRDefault="00C31146" w:rsidP="00C31146">
      <w:pPr>
        <w:pStyle w:val="Action"/>
        <w:ind w:left="0"/>
      </w:pPr>
      <w:r w:rsidRPr="00B45827">
        <w:rPr>
          <w:u w:val="single"/>
        </w:rPr>
        <w:t>Action CI 2j:</w:t>
      </w:r>
      <w:r w:rsidRPr="00B45827">
        <w:tab/>
        <w:t>Compile a list of bus stops with inadequate lighting, and through the Capital Improvement Program, install street lights at those stops as funding is available.</w:t>
      </w:r>
    </w:p>
    <w:p w:rsidR="00C31146" w:rsidRPr="00041770" w:rsidRDefault="00C31146" w:rsidP="00C31146">
      <w:pPr>
        <w:pStyle w:val="Action"/>
        <w:ind w:left="0"/>
      </w:pPr>
      <w:r w:rsidRPr="00B45827">
        <w:rPr>
          <w:u w:val="single"/>
        </w:rPr>
        <w:t>Action CI 2k:</w:t>
      </w:r>
      <w:r w:rsidRPr="00B45827">
        <w:tab/>
        <w:t>Study the feasibility of establishing a public or private shuttle system to serve the SMART commuter rail station, strengthening ties to the Hub as well as major</w:t>
      </w:r>
      <w:r w:rsidRPr="00041770">
        <w:t xml:space="preserve"> employers and schools in and surrounding Cotati.</w:t>
      </w:r>
    </w:p>
    <w:p w:rsidR="00C31146" w:rsidRPr="00041770" w:rsidRDefault="00C31146" w:rsidP="00C31146">
      <w:pPr>
        <w:pStyle w:val="Action"/>
        <w:ind w:left="0"/>
      </w:pPr>
      <w:r w:rsidRPr="00995991">
        <w:rPr>
          <w:u w:val="single"/>
        </w:rPr>
        <w:t>Action CI 3a:</w:t>
      </w:r>
      <w:r w:rsidRPr="00041770">
        <w:tab/>
      </w:r>
      <w:r>
        <w:t>S</w:t>
      </w:r>
      <w:r w:rsidRPr="00041770">
        <w:t xml:space="preserve">upply transportation data to the RCPA </w:t>
      </w:r>
      <w:r>
        <w:t xml:space="preserve">as </w:t>
      </w:r>
      <w:r w:rsidRPr="00041770">
        <w:t>requested to assist in the assessment of GHG reductio</w:t>
      </w:r>
      <w:r>
        <w:t>n efforts.</w:t>
      </w:r>
    </w:p>
    <w:p w:rsidR="00C31146" w:rsidRPr="00041770" w:rsidRDefault="00C31146" w:rsidP="00C31146">
      <w:pPr>
        <w:pStyle w:val="Action"/>
        <w:ind w:left="0"/>
      </w:pPr>
      <w:r w:rsidRPr="00995991">
        <w:rPr>
          <w:u w:val="single"/>
        </w:rPr>
        <w:t>Action CI 3</w:t>
      </w:r>
      <w:r>
        <w:rPr>
          <w:u w:val="single"/>
        </w:rPr>
        <w:t>b</w:t>
      </w:r>
      <w:r w:rsidRPr="00995991">
        <w:rPr>
          <w:u w:val="single"/>
        </w:rPr>
        <w:t>:</w:t>
      </w:r>
      <w:r>
        <w:t xml:space="preserve">  Establish </w:t>
      </w:r>
      <w:r w:rsidRPr="00EF6EE8">
        <w:t>specific TDM requirements for projects</w:t>
      </w:r>
      <w:r>
        <w:t xml:space="preserve"> and consider making requirements sector-based (e.g., residential, commercial, industrial).</w:t>
      </w:r>
      <w:r w:rsidRPr="00EF6EE8">
        <w:t xml:space="preserve"> </w:t>
      </w:r>
    </w:p>
    <w:p w:rsidR="00C31146" w:rsidRPr="0043610F" w:rsidRDefault="00C31146" w:rsidP="00C31146">
      <w:pPr>
        <w:rPr>
          <w:rFonts w:eastAsia="Calibri"/>
          <w:i/>
          <w:color w:val="1D1B11"/>
        </w:rPr>
      </w:pPr>
      <w:r w:rsidRPr="0043610F">
        <w:rPr>
          <w:rFonts w:eastAsia="Calibri"/>
          <w:i/>
          <w:color w:val="1D1B11"/>
          <w:u w:val="single"/>
        </w:rPr>
        <w:t>Action LU 2b:</w:t>
      </w:r>
      <w:r w:rsidRPr="0043610F">
        <w:rPr>
          <w:rFonts w:eastAsia="Calibri"/>
          <w:i/>
          <w:color w:val="1D1B11"/>
        </w:rPr>
        <w:t xml:space="preserve">  Update the Land Use Code to allow for the clustering of housing to protect scenic and natural resources and provide permanent open space, so long as there is no increase in density.  Revisions should be consistent with standards developed as a result of Action OS 1h.  </w:t>
      </w:r>
    </w:p>
    <w:p w:rsidR="00C31146" w:rsidRPr="00B4430B" w:rsidRDefault="00C31146" w:rsidP="00C31146">
      <w:pPr>
        <w:rPr>
          <w:rFonts w:eastAsia="Calibri"/>
          <w:i/>
          <w:color w:val="1D1B11"/>
        </w:rPr>
      </w:pPr>
      <w:r w:rsidRPr="00B4430B">
        <w:rPr>
          <w:rFonts w:eastAsia="Calibri"/>
          <w:i/>
          <w:color w:val="1D1B11"/>
          <w:u w:val="single"/>
        </w:rPr>
        <w:t>Action OS 1a:</w:t>
      </w:r>
      <w:r w:rsidRPr="00B4430B">
        <w:rPr>
          <w:rFonts w:eastAsia="Calibri"/>
          <w:i/>
          <w:color w:val="1D1B11"/>
        </w:rPr>
        <w:t xml:space="preserve"> </w:t>
      </w:r>
      <w:r w:rsidRPr="00B4430B">
        <w:rPr>
          <w:rFonts w:eastAsia="Calibri"/>
          <w:i/>
          <w:color w:val="1D1B11"/>
        </w:rPr>
        <w:tab/>
        <w:t xml:space="preserve">Work with the Sonoma County Permit and Resource Management Department to ensure that </w:t>
      </w:r>
      <w:r>
        <w:rPr>
          <w:rFonts w:eastAsia="Calibri"/>
          <w:i/>
          <w:color w:val="1D1B11"/>
        </w:rPr>
        <w:t xml:space="preserve">Open Space/Parks, Agricultural, and Rural Residential </w:t>
      </w:r>
      <w:r w:rsidRPr="00B4430B">
        <w:rPr>
          <w:rFonts w:eastAsia="Calibri"/>
          <w:i/>
          <w:color w:val="1D1B11"/>
        </w:rPr>
        <w:t xml:space="preserve">lands </w:t>
      </w:r>
      <w:r>
        <w:rPr>
          <w:rFonts w:eastAsia="Calibri"/>
          <w:i/>
          <w:color w:val="1D1B11"/>
        </w:rPr>
        <w:t>with</w:t>
      </w:r>
      <w:r w:rsidRPr="00B4430B">
        <w:rPr>
          <w:rFonts w:eastAsia="Calibri"/>
          <w:i/>
          <w:color w:val="1D1B11"/>
        </w:rPr>
        <w:t xml:space="preserve">in the Sphere of Influence and Urban Growth Boundary are zoned appropriately as rural residential, agricultural, parks, and other limited development or recreational uses in order to limit growth-inducement and development.   </w:t>
      </w:r>
    </w:p>
    <w:p w:rsidR="00C31146" w:rsidRPr="00B4430B" w:rsidRDefault="00C31146" w:rsidP="00C31146">
      <w:pPr>
        <w:rPr>
          <w:rFonts w:eastAsia="Calibri"/>
          <w:i/>
          <w:color w:val="1D1B11"/>
        </w:rPr>
      </w:pPr>
      <w:r w:rsidRPr="00B4430B">
        <w:rPr>
          <w:rFonts w:eastAsia="Calibri"/>
          <w:i/>
          <w:color w:val="1D1B11"/>
          <w:u w:val="single"/>
        </w:rPr>
        <w:t>Action OS 1b:</w:t>
      </w:r>
      <w:r w:rsidRPr="00B4430B">
        <w:rPr>
          <w:rFonts w:eastAsia="Calibri"/>
          <w:i/>
          <w:color w:val="1D1B11"/>
        </w:rPr>
        <w:t xml:space="preserve"> </w:t>
      </w:r>
      <w:r w:rsidRPr="00B4430B">
        <w:rPr>
          <w:rFonts w:eastAsia="Calibri"/>
          <w:i/>
          <w:color w:val="1D1B11"/>
        </w:rPr>
        <w:tab/>
        <w:t>Review all proposals involving County land, within or adjacent to the Sphere of Influence or Urban Growth Boundary, to ensure adequate preservat</w:t>
      </w:r>
      <w:r>
        <w:rPr>
          <w:rFonts w:eastAsia="Calibri"/>
          <w:i/>
          <w:color w:val="1D1B11"/>
        </w:rPr>
        <w:t>ion of community separators and</w:t>
      </w:r>
      <w:r w:rsidRPr="00B4430B">
        <w:rPr>
          <w:rFonts w:eastAsia="Calibri"/>
          <w:i/>
          <w:color w:val="1D1B11"/>
        </w:rPr>
        <w:t xml:space="preserve"> resources.  </w:t>
      </w:r>
    </w:p>
    <w:p w:rsidR="00C31146" w:rsidRPr="00B4430B" w:rsidRDefault="00C31146" w:rsidP="00C31146">
      <w:pPr>
        <w:rPr>
          <w:rFonts w:eastAsia="Calibri"/>
          <w:i/>
          <w:color w:val="1D1B11"/>
        </w:rPr>
      </w:pPr>
      <w:r w:rsidRPr="00B4430B">
        <w:rPr>
          <w:rFonts w:eastAsia="Calibri"/>
          <w:i/>
          <w:color w:val="1D1B11"/>
          <w:u w:val="single"/>
        </w:rPr>
        <w:t>Action OS 1c:</w:t>
      </w:r>
      <w:r w:rsidRPr="00B4430B">
        <w:rPr>
          <w:rFonts w:eastAsia="Calibri"/>
          <w:i/>
          <w:color w:val="1D1B11"/>
        </w:rPr>
        <w:t xml:space="preserve"> </w:t>
      </w:r>
      <w:r w:rsidRPr="00B4430B">
        <w:rPr>
          <w:rFonts w:eastAsia="Calibri"/>
          <w:i/>
          <w:color w:val="1D1B11"/>
        </w:rPr>
        <w:tab/>
        <w:t xml:space="preserve">Work with property owners willing to set up land trusts within the City limits. </w:t>
      </w:r>
    </w:p>
    <w:p w:rsidR="00C31146" w:rsidRPr="00B4430B" w:rsidRDefault="00C31146" w:rsidP="00C31146">
      <w:pPr>
        <w:rPr>
          <w:rFonts w:eastAsia="Calibri"/>
          <w:i/>
          <w:color w:val="1D1B11"/>
        </w:rPr>
      </w:pPr>
      <w:r w:rsidRPr="00B4430B">
        <w:rPr>
          <w:rFonts w:eastAsia="Calibri"/>
          <w:i/>
          <w:color w:val="1D1B11"/>
          <w:u w:val="single"/>
        </w:rPr>
        <w:t>Action OS 1d:</w:t>
      </w:r>
      <w:r w:rsidRPr="00B4430B">
        <w:rPr>
          <w:rFonts w:eastAsia="Calibri"/>
          <w:i/>
          <w:color w:val="1D1B11"/>
        </w:rPr>
        <w:t xml:space="preserve"> Update the Land Use Code to require new development to provide for active and passive open space, whether directly or through in-lieu contribution. </w:t>
      </w:r>
    </w:p>
    <w:p w:rsidR="00C31146" w:rsidRPr="00B4430B" w:rsidRDefault="00C31146" w:rsidP="00C31146">
      <w:pPr>
        <w:rPr>
          <w:rFonts w:eastAsia="Calibri"/>
          <w:i/>
          <w:color w:val="1D1B11"/>
        </w:rPr>
      </w:pPr>
      <w:r w:rsidRPr="00B4430B">
        <w:rPr>
          <w:rFonts w:eastAsia="Calibri"/>
          <w:i/>
          <w:color w:val="1D1B11"/>
          <w:u w:val="single"/>
        </w:rPr>
        <w:t>Action OS 1e:</w:t>
      </w:r>
      <w:r w:rsidRPr="00B4430B">
        <w:rPr>
          <w:rFonts w:eastAsia="Calibri"/>
          <w:i/>
          <w:color w:val="1D1B11"/>
        </w:rPr>
        <w:t xml:space="preserve"> Work in cooperation with County Permit and Resource Management Department staff to ensure land use compatibility and discourage subdivision within the areas designated as open space or community separators (see Figure </w:t>
      </w:r>
      <w:r>
        <w:rPr>
          <w:rFonts w:eastAsia="Calibri"/>
          <w:i/>
          <w:color w:val="1D1B11"/>
        </w:rPr>
        <w:t>9.1</w:t>
      </w:r>
      <w:r w:rsidRPr="00B4430B">
        <w:rPr>
          <w:rFonts w:eastAsia="Calibri"/>
          <w:i/>
          <w:color w:val="1D1B11"/>
        </w:rPr>
        <w:t xml:space="preserve">).  </w:t>
      </w:r>
    </w:p>
    <w:p w:rsidR="00C31146" w:rsidRPr="001926B8" w:rsidRDefault="00C31146" w:rsidP="00C31146">
      <w:r w:rsidRPr="00BF0729">
        <w:t xml:space="preserve">The extensive list of policies and action items provided above demonstrate Cotati’s commitment to reducing GHGs and climate change impacts through General Plan implementation to the greatest degree feasible.  The City has taken a comprehensive approach to climate change through </w:t>
      </w:r>
      <w:r w:rsidRPr="001926B8">
        <w:t xml:space="preserve">development of the 2013 General Plan.  </w:t>
      </w:r>
    </w:p>
    <w:p w:rsidR="00C31146" w:rsidRPr="001926B8" w:rsidRDefault="00C31146" w:rsidP="00C31146">
      <w:r w:rsidRPr="001926B8">
        <w:t xml:space="preserve">The 2013 General Plan Land Use Map was developed to maximize the preservation of agricultural and open space lands in areas outside of the City’s Sphere of Influence.  The Land Use Element places an emphasis on concentrating new urban development around and within existing established urbanized areas of the City.  The General Plan includes numerous policies that promote and encourage infill development, increased residential densities, and permanent preservation of open space through the use of clustered development patterns. </w:t>
      </w:r>
    </w:p>
    <w:p w:rsidR="00C31146" w:rsidRPr="001926B8" w:rsidRDefault="00C31146" w:rsidP="00C31146">
      <w:r w:rsidRPr="001926B8">
        <w:t xml:space="preserve">The Circulation Element includes policies that require and promote the development of “complete streets”, which provide opportunities for multimodal transportation and reduced VMT.  The Circulation Element also promotes the development and expansion of several forms of alternative transit, including bicycle transportation, rail, bus routes, and pedestrian connectivity.  </w:t>
      </w:r>
    </w:p>
    <w:p w:rsidR="00C31146" w:rsidRPr="001926B8" w:rsidRDefault="00C31146" w:rsidP="00C31146">
      <w:r w:rsidRPr="001926B8">
        <w:t>The Conservation Element includes several policies that require water and energy conservation measures in new and existing development, and promotes the use of green building practices.</w:t>
      </w:r>
      <w:r>
        <w:t xml:space="preserve">  This element also promotes the continued implementation of the City’s municipal GHG reduction plan, and participation in the Countywide CCAP, both of which will greatly assist in reducing GHG emissions in Cotati.  </w:t>
      </w:r>
    </w:p>
    <w:p w:rsidR="00C31146" w:rsidRPr="001926B8" w:rsidRDefault="00C31146" w:rsidP="00C31146">
      <w:r w:rsidRPr="001926B8">
        <w:t xml:space="preserve">The Open Space Element includes policies and actions that require the preservation of open space lands and the maintenance of open space buffers around urbanized areas.  </w:t>
      </w:r>
    </w:p>
    <w:p w:rsidR="00C31146" w:rsidRPr="001926B8" w:rsidRDefault="00C31146" w:rsidP="00C31146">
      <w:r w:rsidRPr="001926B8">
        <w:t xml:space="preserve">All of the policies and actions identified above would encourage the development of a compact urban community, while preserving the agricultural and open space resources in the Planning Area.  The City’s comprehensive approach to this issue in the 2013 General Plan would result in increased local employment opportunities, increased transportation and transit options, and the incorporation of conservation and energy efficiency into new development.  </w:t>
      </w:r>
    </w:p>
    <w:p w:rsidR="00C31146" w:rsidRPr="001926B8" w:rsidRDefault="00C31146" w:rsidP="00C31146">
      <w:r w:rsidRPr="001926B8">
        <w:t xml:space="preserve">The proposed 2030 General Plan is consistent with the policy guidance provided by CAPCOA and the BAAQMD, and would assist the state in meeting the GHG reduction goals established by AB 32.  Therefore, this is a </w:t>
      </w:r>
      <w:r w:rsidRPr="001926B8">
        <w:rPr>
          <w:b/>
        </w:rPr>
        <w:t>less than significant</w:t>
      </w:r>
      <w:r w:rsidRPr="001926B8">
        <w:t xml:space="preserve"> impact.  </w:t>
      </w:r>
    </w:p>
    <w:p w:rsidR="00C31146" w:rsidRPr="00A243C3" w:rsidRDefault="00C31146" w:rsidP="00C31146">
      <w:pPr>
        <w:pStyle w:val="Heading4"/>
      </w:pPr>
      <w:r w:rsidRPr="00A243C3">
        <w:t>Impact 3.6-2: Conflict with an applicable plan, policy, or regulation adopted for the purpose of reducing the emissions of greenhouse gases (</w:t>
      </w:r>
      <w:r w:rsidRPr="00A243C3">
        <w:rPr>
          <w:lang w:val="en-US"/>
        </w:rPr>
        <w:t>L</w:t>
      </w:r>
      <w:r w:rsidRPr="00A243C3">
        <w:t xml:space="preserve">ess than </w:t>
      </w:r>
      <w:r w:rsidRPr="00A243C3">
        <w:rPr>
          <w:lang w:val="en-US"/>
        </w:rPr>
        <w:t>S</w:t>
      </w:r>
      <w:r w:rsidRPr="00A243C3">
        <w:t>ignificant)</w:t>
      </w:r>
    </w:p>
    <w:p w:rsidR="00C31146" w:rsidRDefault="00C31146" w:rsidP="00C31146">
      <w:r w:rsidRPr="00A243C3">
        <w:t xml:space="preserve">The City implements a range of regulatory vehicles in order to reduce GHG emissions in the city from existing and future sources.  All new construction is required to implement CALGreen Mandatory </w:t>
      </w:r>
      <w:r>
        <w:t xml:space="preserve">plus </w:t>
      </w:r>
      <w:r w:rsidRPr="00A243C3">
        <w:t>Tier 1 standards, which include a detailed list of green building features that address energy efficiency, water efficiency, waste reduction, material conservation and indoor</w:t>
      </w:r>
      <w:r w:rsidRPr="003762F9">
        <w:t xml:space="preserve"> air quality. </w:t>
      </w:r>
      <w:r>
        <w:t xml:space="preserve">The </w:t>
      </w:r>
      <w:r w:rsidRPr="003762F9">
        <w:t xml:space="preserve">requirements apply to newly constructed residential and non-residential facilities. Additions, alterations, repairs and existing structures may </w:t>
      </w:r>
      <w:r>
        <w:t xml:space="preserve">also </w:t>
      </w:r>
      <w:r w:rsidRPr="003762F9">
        <w:t>be subject to the requirements of CALGreen.</w:t>
      </w:r>
    </w:p>
    <w:p w:rsidR="00C31146" w:rsidRDefault="00C31146" w:rsidP="00C31146">
      <w:r w:rsidRPr="00611050">
        <w:t xml:space="preserve">The City of Cotati </w:t>
      </w:r>
      <w:r>
        <w:t xml:space="preserve">has also </w:t>
      </w:r>
      <w:r w:rsidRPr="00611050">
        <w:t xml:space="preserve">developed a Greenhouse Gas Emissions Reduction Action Plan Analysis as a way to reduce GHG emissions, reduce energy costs, address equipment problems, and reduce the uncertainty of the city’s future annual energy costs. </w:t>
      </w:r>
      <w:r>
        <w:t>During development of the Cotati Greenhouse Gas Emissions Reduction Plan Analysis, the City implemented</w:t>
      </w:r>
      <w:r w:rsidRPr="006369DF">
        <w:t xml:space="preserve"> the ICLEI program to reduce the </w:t>
      </w:r>
      <w:r>
        <w:t xml:space="preserve">GHG </w:t>
      </w:r>
      <w:r w:rsidRPr="006369DF">
        <w:t xml:space="preserve">emissions from city controlled sources. </w:t>
      </w:r>
    </w:p>
    <w:p w:rsidR="00C31146" w:rsidRPr="006369DF" w:rsidRDefault="00C31146" w:rsidP="00C31146">
      <w:r w:rsidRPr="006369DF">
        <w:t>This program has five steps, referred to as “Milestones.”</w:t>
      </w:r>
      <w:r>
        <w:t xml:space="preserve"> </w:t>
      </w:r>
      <w:r w:rsidRPr="006369DF">
        <w:t>Milestone 1, creating the GHG inventory, and Milestone 2, setting a reduction target have been</w:t>
      </w:r>
      <w:r>
        <w:t xml:space="preserve"> </w:t>
      </w:r>
      <w:r w:rsidRPr="006369DF">
        <w:t>completed. The City Council has adopted a reduction target for internal operations of 20%</w:t>
      </w:r>
      <w:r>
        <w:t xml:space="preserve"> </w:t>
      </w:r>
      <w:r w:rsidRPr="006369DF">
        <w:t xml:space="preserve">below 2000 levels by 2010. Milestone 3 requires the creation of </w:t>
      </w:r>
      <w:r>
        <w:t xml:space="preserve">a plan to meet this target. The GHG Reduction Action Plan </w:t>
      </w:r>
      <w:r w:rsidRPr="006369DF">
        <w:t>report and associated analysis provides the roadmap to satisfy Milestone 3 providing five</w:t>
      </w:r>
      <w:r>
        <w:t xml:space="preserve"> </w:t>
      </w:r>
      <w:r w:rsidRPr="006369DF">
        <w:t>measure-specific plans to reduce emissions by more than 20%. Furthermore, the framework</w:t>
      </w:r>
      <w:r>
        <w:t xml:space="preserve"> </w:t>
      </w:r>
      <w:r w:rsidRPr="006369DF">
        <w:t>associated with this material will support the City in meeting the requirements of Milestone 4</w:t>
      </w:r>
      <w:r>
        <w:t xml:space="preserve"> </w:t>
      </w:r>
      <w:r w:rsidRPr="006369DF">
        <w:t>(implementation) and Milestone 5 (monitoring and adjustment). The framework facilitates the</w:t>
      </w:r>
      <w:r>
        <w:t xml:space="preserve"> </w:t>
      </w:r>
      <w:r w:rsidRPr="006369DF">
        <w:t>integration of new and revised information, taking advantage of new opportunities and allowing</w:t>
      </w:r>
      <w:r>
        <w:t xml:space="preserve"> </w:t>
      </w:r>
      <w:r w:rsidRPr="006369DF">
        <w:t>adjustments to under performing initiatives.</w:t>
      </w:r>
    </w:p>
    <w:p w:rsidR="00C31146" w:rsidRDefault="00C31146" w:rsidP="00C31146">
      <w:r w:rsidRPr="006369DF">
        <w:t>The analysis, and resulting GHG emissions reduction plans, incorporates many opportunities in</w:t>
      </w:r>
      <w:r>
        <w:t xml:space="preserve"> </w:t>
      </w:r>
      <w:r w:rsidRPr="006369DF">
        <w:t>the various contributing sectors (Building Efficiency, Fleet, Commute, Water/Sewer,</w:t>
      </w:r>
      <w:r>
        <w:t xml:space="preserve"> </w:t>
      </w:r>
      <w:r w:rsidRPr="006369DF">
        <w:t>Streetlights, and Photovoltaic), as identified by the City Staff utilizing the best available</w:t>
      </w:r>
      <w:r>
        <w:t xml:space="preserve"> </w:t>
      </w:r>
      <w:r w:rsidRPr="006369DF">
        <w:t>information at the time of research. The results provide an emissions impact estimate for five</w:t>
      </w:r>
      <w:r>
        <w:t xml:space="preserve"> </w:t>
      </w:r>
      <w:r w:rsidRPr="006369DF">
        <w:t>plans with the corresponding financial analysis.</w:t>
      </w:r>
      <w:r>
        <w:t xml:space="preserve">  </w:t>
      </w:r>
    </w:p>
    <w:p w:rsidR="00C31146" w:rsidRDefault="00C31146" w:rsidP="00C31146">
      <w:r>
        <w:t xml:space="preserve">General Plan Policy CON 2.6 calls for a reduction of GHG emissions from </w:t>
      </w:r>
      <w:r w:rsidRPr="00CD0DC7">
        <w:rPr>
          <w:rFonts w:eastAsia="Calibri"/>
          <w:bCs/>
        </w:rPr>
        <w:t xml:space="preserve">City facilities and operations to </w:t>
      </w:r>
      <w:r w:rsidRPr="00DC12C1">
        <w:t>30 percent below 1990 levels by 2015, consistent with the goals stated in the 2008 Cotati Greenhouse Gas Emissions Reduction Action Plan. Action CON 2f</w:t>
      </w:r>
      <w:r>
        <w:t xml:space="preserve"> requires the City to r</w:t>
      </w:r>
      <w:r w:rsidRPr="00DC12C1">
        <w:t xml:space="preserve">egularly monitor and track the City’s progress towards meeting the municipal GHG reduction goals contained in the 2008 Cotati Greenhouse Gas </w:t>
      </w:r>
      <w:r>
        <w:t>Emissions Reduction Action Plan, and Action CON 2g requires the City to u</w:t>
      </w:r>
      <w:r w:rsidRPr="00DC12C1">
        <w:t xml:space="preserve">pdate the City’s 2008 Greenhouse Gas Emissions Reduction Action Plan every five years, or more frequently if the City Council deems appropriate, to make progress towards the City’s GHG reduction goals.  </w:t>
      </w:r>
    </w:p>
    <w:p w:rsidR="00C31146" w:rsidRDefault="00C31146" w:rsidP="00C31146">
      <w:r>
        <w:t>Additionally, as described under Impact 3.6-1, the City of Cotati participates in the Sonoma County Regional Climate Protection Authority (RCPA).  The RCPA was created in 2009 to improve coordination on climate change issues and establish a clearinghouse for efforts to reduce greenhouse gas (GHG) emissions. The RCPA is made up of the same Board of Directors as the SCTA and includes representatives from each of the nine cities in Sonoma County (including Cotati) and the Sonoma County Board of Supervisors.</w:t>
      </w:r>
    </w:p>
    <w:p w:rsidR="00C31146" w:rsidRPr="00934F74" w:rsidRDefault="00C31146" w:rsidP="00C31146">
      <w:r>
        <w:t xml:space="preserve">The RCPA has published, and is in the process of implementing, the </w:t>
      </w:r>
      <w:hyperlink r:id="rId11" w:tgtFrame="_blank" w:history="1">
        <w:r w:rsidRPr="00041EE3">
          <w:t>Community Climate Action Plan (CCAP)</w:t>
        </w:r>
      </w:hyperlink>
      <w:r>
        <w:t>, which recommends regional solutions to reduce emissions from buildings, transportation, the electrical grid, agriculture, forestry, and solid waste.  As described in the CCAP, i</w:t>
      </w:r>
      <w:r w:rsidRPr="003B360D">
        <w:t>mplementation of all major quantified</w:t>
      </w:r>
      <w:r>
        <w:t xml:space="preserve"> GHG reduction </w:t>
      </w:r>
      <w:r w:rsidRPr="003B360D">
        <w:t xml:space="preserve">solutions </w:t>
      </w:r>
      <w:r>
        <w:t xml:space="preserve">identified in the CCAP </w:t>
      </w:r>
      <w:r w:rsidRPr="003B360D">
        <w:t xml:space="preserve">will </w:t>
      </w:r>
      <w:r>
        <w:t xml:space="preserve">achieve a </w:t>
      </w:r>
      <w:r w:rsidRPr="003B360D">
        <w:t xml:space="preserve">22 percent reduction below 1990 GHG levels, which is approximately 37 percent below business as usual GHG projections.  These reduction targets are comparable to, and consistent with, the </w:t>
      </w:r>
      <w:r w:rsidRPr="00934F74">
        <w:t xml:space="preserve">goals established by AB 32.  </w:t>
      </w:r>
      <w:r>
        <w:t xml:space="preserve">The 2013 Cotati General Plan Policies and Actions listed above under Impact 3.6-1 are consistent with the CCAP, and will assist in meeting the regional GHG reduction goals established by the CCAP.  </w:t>
      </w:r>
    </w:p>
    <w:p w:rsidR="00EC1E93" w:rsidRDefault="00C31146" w:rsidP="00DD4B46">
      <w:r w:rsidRPr="00E673E2">
        <w:t xml:space="preserve">In addition to the proposed project’s consistency with the CCAP and AB 32, new projects are required to fully implement the City’s Green Building Standards. Compliance with the City’s Green Building Standards would reduce GHG emissions from future development to the greatest extent feasible, and would further ensure that the General Plan and any future development following adoption of the General Plan would be consistent with all applicable plans and policies adopted for the purpose of reducing GHG emissions.  This is a </w:t>
      </w:r>
      <w:r w:rsidRPr="00E673E2">
        <w:rPr>
          <w:b/>
        </w:rPr>
        <w:t>less than significant impact.</w:t>
      </w:r>
      <w:r>
        <w:t xml:space="preserve">  </w:t>
      </w:r>
    </w:p>
    <w:p w:rsidR="00EC1E93" w:rsidRDefault="00EC1E93" w:rsidP="00DD4B46">
      <w:r>
        <w:br w:type="page"/>
      </w:r>
    </w:p>
    <w:p w:rsidR="00EC1E93" w:rsidRDefault="00EC1E93" w:rsidP="00DD4B46"/>
    <w:p w:rsidR="00EC1E93" w:rsidRDefault="00EC1E93" w:rsidP="00DD4B46"/>
    <w:p w:rsidR="00EC1E93" w:rsidRDefault="00EC1E93" w:rsidP="00DD4B46"/>
    <w:p w:rsidR="00EC1E93" w:rsidRDefault="00EC1E93" w:rsidP="00DD4B46"/>
    <w:p w:rsidR="00EC1E93" w:rsidRDefault="00EC1E93" w:rsidP="00DD4B46"/>
    <w:p w:rsidR="00EC1E93" w:rsidRDefault="00EC1E93" w:rsidP="00DD4B46"/>
    <w:p w:rsidR="00EC1E93" w:rsidRDefault="00EC1E93" w:rsidP="00DD4B46"/>
    <w:p w:rsidR="00EC1E93" w:rsidRDefault="00EC1E93" w:rsidP="00DD4B46"/>
    <w:p w:rsidR="00EC1E93" w:rsidRDefault="00EC1E93" w:rsidP="00DD4B46"/>
    <w:p w:rsidR="00C31146" w:rsidRPr="00EC1E93" w:rsidRDefault="00EC1E93" w:rsidP="00EC1E93">
      <w:pPr>
        <w:jc w:val="center"/>
        <w:rPr>
          <w:i/>
        </w:rPr>
      </w:pPr>
      <w:r w:rsidRPr="00EC1E93">
        <w:rPr>
          <w:i/>
        </w:rPr>
        <w:t>This page left intentionally blank.</w:t>
      </w:r>
    </w:p>
    <w:sectPr w:rsidR="00C31146" w:rsidRPr="00EC1E93" w:rsidSect="00C3114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B3" w:rsidRDefault="00C853B3" w:rsidP="00C31146">
      <w:pPr>
        <w:spacing w:after="0" w:line="240" w:lineRule="auto"/>
      </w:pPr>
      <w:r>
        <w:separator/>
      </w:r>
    </w:p>
  </w:endnote>
  <w:endnote w:type="continuationSeparator" w:id="0">
    <w:p w:rsidR="00C853B3" w:rsidRDefault="00C853B3" w:rsidP="00C31146">
      <w:pPr>
        <w:spacing w:after="0" w:line="240" w:lineRule="auto"/>
      </w:pPr>
      <w:r>
        <w:continuationSeparator/>
      </w:r>
    </w:p>
  </w:endnote>
  <w:endnote w:type="continuationNotice" w:id="1">
    <w:p w:rsidR="00C853B3" w:rsidRDefault="00C85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wis721 BlkEx BT">
    <w:altName w:val="Cambria"/>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G Omega">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C31146">
      <w:trPr>
        <w:trHeight w:val="360"/>
      </w:trPr>
      <w:tc>
        <w:tcPr>
          <w:tcW w:w="772" w:type="pct"/>
          <w:shd w:val="clear" w:color="auto" w:fill="D9D9D9"/>
          <w:vAlign w:val="center"/>
        </w:tcPr>
        <w:p w:rsidR="00C31146" w:rsidRPr="00581546" w:rsidRDefault="00C31146" w:rsidP="00C31146">
          <w:pPr>
            <w:pStyle w:val="Footer"/>
            <w:jc w:val="center"/>
          </w:pPr>
          <w:r w:rsidRPr="00581546">
            <w:rPr>
              <w:rFonts w:ascii="Cambria" w:hAnsi="Cambria"/>
              <w:lang w:val="en-US" w:eastAsia="en-US"/>
            </w:rPr>
            <w:t>3.</w:t>
          </w:r>
          <w:r>
            <w:rPr>
              <w:rFonts w:ascii="Cambria" w:hAnsi="Cambria"/>
              <w:lang w:val="en-US" w:eastAsia="en-US"/>
            </w:rPr>
            <w:t>6</w:t>
          </w:r>
          <w:r w:rsidRPr="00581546">
            <w:rPr>
              <w:rFonts w:ascii="Cambria" w:hAnsi="Cambria"/>
              <w:lang w:val="en-US" w:eastAsia="en-US"/>
            </w:rPr>
            <w:t>-</w:t>
          </w:r>
          <w:r w:rsidR="00660560">
            <w:fldChar w:fldCharType="begin"/>
          </w:r>
          <w:r w:rsidR="00660560">
            <w:instrText xml:space="preserve"> PAGE   \* MERGEFORMAT </w:instrText>
          </w:r>
          <w:r w:rsidR="00660560">
            <w:fldChar w:fldCharType="separate"/>
          </w:r>
          <w:r w:rsidR="00660560" w:rsidRPr="00660560">
            <w:rPr>
              <w:rFonts w:ascii="Cambria" w:hAnsi="Cambria"/>
              <w:noProof/>
            </w:rPr>
            <w:t>20</w:t>
          </w:r>
          <w:r w:rsidR="00660560">
            <w:rPr>
              <w:rFonts w:ascii="Cambria" w:hAnsi="Cambria"/>
              <w:noProof/>
            </w:rPr>
            <w:fldChar w:fldCharType="end"/>
          </w:r>
        </w:p>
      </w:tc>
      <w:tc>
        <w:tcPr>
          <w:tcW w:w="4228" w:type="pct"/>
          <w:vAlign w:val="center"/>
        </w:tcPr>
        <w:p w:rsidR="00C31146" w:rsidRPr="00581546" w:rsidRDefault="00C31146" w:rsidP="00C31146">
          <w:pPr>
            <w:pStyle w:val="Footer"/>
            <w:jc w:val="left"/>
          </w:pPr>
          <w:r w:rsidRPr="00581546">
            <w:rPr>
              <w:rFonts w:ascii="Cambria" w:hAnsi="Cambria"/>
              <w:lang w:val="en-US" w:eastAsia="en-US"/>
            </w:rPr>
            <w:t xml:space="preserve">Draft Environmental Impact Report – </w:t>
          </w:r>
          <w:r>
            <w:rPr>
              <w:rFonts w:ascii="Cambria" w:hAnsi="Cambria"/>
              <w:lang w:val="en-US" w:eastAsia="en-US"/>
            </w:rPr>
            <w:t>2013 Cotati General Plan</w:t>
          </w:r>
        </w:p>
      </w:tc>
    </w:tr>
  </w:tbl>
  <w:p w:rsidR="00C31146" w:rsidRDefault="00C31146" w:rsidP="00C311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C31146">
      <w:trPr>
        <w:trHeight w:val="360"/>
      </w:trPr>
      <w:tc>
        <w:tcPr>
          <w:tcW w:w="4228" w:type="pct"/>
          <w:vAlign w:val="center"/>
        </w:tcPr>
        <w:p w:rsidR="00C31146" w:rsidRPr="00581546" w:rsidRDefault="00C31146" w:rsidP="00C31146">
          <w:pPr>
            <w:pStyle w:val="Footer"/>
            <w:jc w:val="right"/>
          </w:pPr>
          <w:r w:rsidRPr="00581546">
            <w:rPr>
              <w:rFonts w:ascii="Cambria" w:hAnsi="Cambria"/>
              <w:lang w:val="en-US" w:eastAsia="en-US"/>
            </w:rPr>
            <w:t xml:space="preserve">Draft Environmental Impact Report – </w:t>
          </w:r>
          <w:r>
            <w:rPr>
              <w:rFonts w:ascii="Cambria" w:hAnsi="Cambria"/>
              <w:lang w:val="en-US" w:eastAsia="en-US"/>
            </w:rPr>
            <w:t>2013 Cotati General Plan</w:t>
          </w:r>
        </w:p>
      </w:tc>
      <w:tc>
        <w:tcPr>
          <w:tcW w:w="772" w:type="pct"/>
          <w:shd w:val="clear" w:color="auto" w:fill="D9D9D9"/>
          <w:vAlign w:val="center"/>
        </w:tcPr>
        <w:p w:rsidR="00C31146" w:rsidRPr="00581546" w:rsidRDefault="00C31146" w:rsidP="00C31146">
          <w:pPr>
            <w:pStyle w:val="Footer"/>
            <w:jc w:val="center"/>
            <w:rPr>
              <w:rFonts w:ascii="Cambria" w:hAnsi="Cambria"/>
            </w:rPr>
          </w:pPr>
          <w:r w:rsidRPr="00581546">
            <w:rPr>
              <w:rFonts w:ascii="Cambria" w:hAnsi="Cambria"/>
              <w:lang w:val="en-US" w:eastAsia="en-US"/>
            </w:rPr>
            <w:t>3.</w:t>
          </w:r>
          <w:r>
            <w:rPr>
              <w:rFonts w:ascii="Cambria" w:hAnsi="Cambria"/>
              <w:lang w:val="en-US" w:eastAsia="en-US"/>
            </w:rPr>
            <w:t>6</w:t>
          </w:r>
          <w:r w:rsidRPr="00581546">
            <w:rPr>
              <w:rFonts w:ascii="Cambria" w:hAnsi="Cambria"/>
              <w:lang w:val="en-US" w:eastAsia="en-US"/>
            </w:rPr>
            <w:t>-</w:t>
          </w:r>
          <w:r w:rsidR="00660560">
            <w:fldChar w:fldCharType="begin"/>
          </w:r>
          <w:r w:rsidR="00660560">
            <w:instrText xml:space="preserve"> PAGE    \* MERGEFORMAT </w:instrText>
          </w:r>
          <w:r w:rsidR="00660560">
            <w:fldChar w:fldCharType="separate"/>
          </w:r>
          <w:r w:rsidR="00660560" w:rsidRPr="00660560">
            <w:rPr>
              <w:rFonts w:ascii="Cambria" w:hAnsi="Cambria"/>
              <w:noProof/>
            </w:rPr>
            <w:t>21</w:t>
          </w:r>
          <w:r w:rsidR="00660560">
            <w:rPr>
              <w:rFonts w:ascii="Cambria" w:hAnsi="Cambria"/>
              <w:noProof/>
            </w:rPr>
            <w:fldChar w:fldCharType="end"/>
          </w:r>
        </w:p>
      </w:tc>
    </w:tr>
  </w:tbl>
  <w:p w:rsidR="00C31146" w:rsidRDefault="00C31146" w:rsidP="00C311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C31146">
      <w:trPr>
        <w:trHeight w:val="360"/>
      </w:trPr>
      <w:tc>
        <w:tcPr>
          <w:tcW w:w="4228" w:type="pct"/>
          <w:vAlign w:val="center"/>
        </w:tcPr>
        <w:p w:rsidR="00C31146" w:rsidRPr="00581546" w:rsidRDefault="00C31146" w:rsidP="00C31146">
          <w:pPr>
            <w:pStyle w:val="Footer"/>
            <w:jc w:val="right"/>
          </w:pPr>
          <w:r w:rsidRPr="00581546">
            <w:rPr>
              <w:rFonts w:ascii="Cambria" w:hAnsi="Cambria"/>
              <w:lang w:val="en-US" w:eastAsia="en-US"/>
            </w:rPr>
            <w:t xml:space="preserve">Draft Environmental Impact Report – </w:t>
          </w:r>
          <w:r>
            <w:rPr>
              <w:rFonts w:ascii="Cambria" w:hAnsi="Cambria"/>
              <w:lang w:val="en-US" w:eastAsia="en-US"/>
            </w:rPr>
            <w:t>2013 Cotati General Plan</w:t>
          </w:r>
        </w:p>
      </w:tc>
      <w:tc>
        <w:tcPr>
          <w:tcW w:w="772" w:type="pct"/>
          <w:shd w:val="clear" w:color="auto" w:fill="D9D9D9"/>
          <w:vAlign w:val="center"/>
        </w:tcPr>
        <w:p w:rsidR="00C31146" w:rsidRPr="00581546" w:rsidRDefault="00C31146" w:rsidP="00C31146">
          <w:pPr>
            <w:pStyle w:val="Footer"/>
            <w:jc w:val="center"/>
            <w:rPr>
              <w:rFonts w:ascii="Cambria" w:hAnsi="Cambria"/>
            </w:rPr>
          </w:pPr>
          <w:r>
            <w:rPr>
              <w:rFonts w:ascii="Cambria" w:hAnsi="Cambria"/>
              <w:lang w:val="en-US" w:eastAsia="en-US"/>
            </w:rPr>
            <w:t>3.6</w:t>
          </w:r>
          <w:r w:rsidRPr="00581546">
            <w:rPr>
              <w:rFonts w:ascii="Cambria" w:hAnsi="Cambria"/>
              <w:lang w:val="en-US" w:eastAsia="en-US"/>
            </w:rPr>
            <w:t>-</w:t>
          </w:r>
          <w:r w:rsidR="00660560">
            <w:fldChar w:fldCharType="begin"/>
          </w:r>
          <w:r w:rsidR="00660560">
            <w:instrText xml:space="preserve"> PAGE    \* MERGEFORMAT </w:instrText>
          </w:r>
          <w:r w:rsidR="00660560">
            <w:fldChar w:fldCharType="separate"/>
          </w:r>
          <w:r w:rsidR="00660560" w:rsidRPr="00660560">
            <w:rPr>
              <w:rFonts w:ascii="Cambria" w:hAnsi="Cambria"/>
              <w:noProof/>
            </w:rPr>
            <w:t>1</w:t>
          </w:r>
          <w:r w:rsidR="00660560">
            <w:rPr>
              <w:rFonts w:ascii="Cambria" w:hAnsi="Cambria"/>
              <w:noProof/>
            </w:rPr>
            <w:fldChar w:fldCharType="end"/>
          </w:r>
        </w:p>
      </w:tc>
    </w:tr>
  </w:tbl>
  <w:p w:rsidR="00C31146" w:rsidRDefault="00C31146" w:rsidP="00C31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B3" w:rsidRDefault="00C853B3" w:rsidP="00C31146">
      <w:pPr>
        <w:spacing w:after="0" w:line="240" w:lineRule="auto"/>
      </w:pPr>
      <w:r>
        <w:separator/>
      </w:r>
    </w:p>
  </w:footnote>
  <w:footnote w:type="continuationSeparator" w:id="0">
    <w:p w:rsidR="00C853B3" w:rsidRDefault="00C853B3" w:rsidP="00C31146">
      <w:pPr>
        <w:spacing w:after="0" w:line="240" w:lineRule="auto"/>
      </w:pPr>
      <w:r>
        <w:continuationSeparator/>
      </w:r>
    </w:p>
  </w:footnote>
  <w:footnote w:type="continuationNotice" w:id="1">
    <w:p w:rsidR="00C853B3" w:rsidRDefault="00C853B3">
      <w:pPr>
        <w:spacing w:after="0" w:line="240" w:lineRule="auto"/>
      </w:pPr>
    </w:p>
  </w:footnote>
  <w:footnote w:id="2">
    <w:p w:rsidR="00C31146" w:rsidRPr="00F71D0B" w:rsidRDefault="00C31146" w:rsidP="00C31146">
      <w:pPr>
        <w:pStyle w:val="FootnoteText"/>
        <w:spacing w:after="200" w:line="276" w:lineRule="auto"/>
        <w:rPr>
          <w:rFonts w:ascii="Calibri" w:hAnsi="Calibri"/>
        </w:rPr>
      </w:pPr>
      <w:r w:rsidRPr="00F71D0B">
        <w:rPr>
          <w:rStyle w:val="FootnoteReference"/>
          <w:rFonts w:ascii="Calibri" w:hAnsi="Calibri"/>
          <w:vertAlign w:val="baseline"/>
        </w:rPr>
        <w:footnoteRef/>
      </w:r>
      <w:r w:rsidRPr="00F71D0B">
        <w:rPr>
          <w:rFonts w:ascii="Calibri" w:hAnsi="Calibri"/>
        </w:rPr>
        <w:t xml:space="preserve"> Intergovernmental Panel on Climate Change. 2007. “Climate Change 2007: The Physical Science Basis, Summary for Policymakers.” http://www.ipcc.ch/publications_and_data/publications_ipcc_fourth_assessment_report_wg1_report_the_physical_science_basis.htm</w:t>
      </w:r>
    </w:p>
  </w:footnote>
  <w:footnote w:id="3">
    <w:p w:rsidR="00C31146" w:rsidRDefault="00C31146">
      <w:pPr>
        <w:pStyle w:val="FootnoteText"/>
        <w:rPr>
          <w:rFonts w:ascii="Calibri" w:hAnsi="Calibri"/>
        </w:rPr>
      </w:pPr>
      <w:r>
        <w:rPr>
          <w:rStyle w:val="FootnoteReference"/>
        </w:rPr>
        <w:footnoteRef/>
      </w:r>
      <w:r>
        <w:t xml:space="preserve"> </w:t>
      </w:r>
      <w:r w:rsidRPr="001C539A">
        <w:rPr>
          <w:rFonts w:ascii="Calibri" w:hAnsi="Calibri"/>
        </w:rPr>
        <w:t xml:space="preserve">California Air Resources Board. 2012.  “Greenhouse Gas Inventory Data, 2000-2009. </w:t>
      </w:r>
      <w:hyperlink r:id="rId1" w:history="1">
        <w:r w:rsidRPr="00AD0B28">
          <w:rPr>
            <w:rStyle w:val="Hyperlink"/>
          </w:rPr>
          <w:t>http://www.arb.ca.gov/cc/inventory/data/data.htm</w:t>
        </w:r>
      </w:hyperlink>
    </w:p>
    <w:p w:rsidR="00C31146" w:rsidRPr="001C539A" w:rsidRDefault="00C31146">
      <w:pPr>
        <w:pStyle w:val="FootnoteText"/>
      </w:pPr>
    </w:p>
  </w:footnote>
  <w:footnote w:id="4">
    <w:p w:rsidR="00C31146" w:rsidRPr="00F71D0B" w:rsidRDefault="00C31146" w:rsidP="00C31146">
      <w:pPr>
        <w:pStyle w:val="FootnoteText"/>
        <w:spacing w:after="200" w:line="276" w:lineRule="auto"/>
        <w:rPr>
          <w:rFonts w:ascii="Calibri" w:hAnsi="Calibri"/>
        </w:rPr>
      </w:pPr>
      <w:r w:rsidRPr="00F71D0B">
        <w:rPr>
          <w:rStyle w:val="FootnoteReference"/>
          <w:rFonts w:ascii="Calibri" w:hAnsi="Calibri"/>
          <w:vertAlign w:val="baseline"/>
        </w:rPr>
        <w:footnoteRef/>
      </w:r>
      <w:r w:rsidRPr="00F71D0B">
        <w:rPr>
          <w:rFonts w:ascii="Calibri" w:hAnsi="Calibri"/>
        </w:rPr>
        <w:t xml:space="preserve"> California Energy Commission. 2006a. Inventory of California Greenhouse Gas Emissions and Sinks 1990 to 2004.  http://www.arb.ca.gov/cc/inventory/archive/archive.htm</w:t>
      </w:r>
    </w:p>
  </w:footnote>
  <w:footnote w:id="5">
    <w:p w:rsidR="00C31146" w:rsidRDefault="00C31146" w:rsidP="00C31146">
      <w:pPr>
        <w:pStyle w:val="FootnoteText"/>
        <w:spacing w:after="200" w:line="276" w:lineRule="auto"/>
      </w:pPr>
      <w:r w:rsidRPr="00F71D0B">
        <w:rPr>
          <w:rStyle w:val="FootnoteReference"/>
          <w:rFonts w:ascii="Calibri" w:hAnsi="Calibri"/>
          <w:vertAlign w:val="baseline"/>
        </w:rPr>
        <w:footnoteRef/>
      </w:r>
      <w:r w:rsidRPr="00F71D0B">
        <w:rPr>
          <w:rFonts w:ascii="Calibri" w:hAnsi="Calibri"/>
        </w:rPr>
        <w:t xml:space="preserve"> California Air Resources Board. 2010. “Functional Equivalent Document prepared for the California Cap on GHG Emissions and Market-Based Compliance Mechanisms.”</w:t>
      </w:r>
      <w:r>
        <w:t xml:space="preserve"> </w:t>
      </w:r>
    </w:p>
  </w:footnote>
  <w:footnote w:id="6">
    <w:p w:rsidR="00C31146" w:rsidRPr="00B54B6C" w:rsidRDefault="00C31146" w:rsidP="00C31146">
      <w:pPr>
        <w:pStyle w:val="FootnoteText"/>
        <w:spacing w:after="200" w:line="276" w:lineRule="auto"/>
      </w:pPr>
      <w:r w:rsidRPr="00727A2F">
        <w:rPr>
          <w:rStyle w:val="FootnoteReference"/>
          <w:rFonts w:ascii="Calibri" w:hAnsi="Calibri"/>
          <w:vertAlign w:val="baseline"/>
        </w:rPr>
        <w:footnoteRef/>
      </w:r>
      <w:r w:rsidRPr="00727A2F">
        <w:rPr>
          <w:rStyle w:val="FootnoteReference"/>
          <w:rFonts w:ascii="Calibri" w:hAnsi="Calibri"/>
          <w:vertAlign w:val="baseline"/>
        </w:rPr>
        <w:t xml:space="preserve"> California </w:t>
      </w:r>
      <w:r>
        <w:rPr>
          <w:rStyle w:val="FootnoteReference"/>
          <w:rFonts w:ascii="Calibri" w:hAnsi="Calibri"/>
          <w:vertAlign w:val="baseline"/>
        </w:rPr>
        <w:t>Climate Change Center</w:t>
      </w:r>
      <w:r w:rsidRPr="00727A2F">
        <w:rPr>
          <w:rStyle w:val="FootnoteReference"/>
          <w:rFonts w:ascii="Calibri" w:hAnsi="Calibri"/>
          <w:vertAlign w:val="baseline"/>
        </w:rPr>
        <w:t xml:space="preserve">. 2006. </w:t>
      </w:r>
      <w:r>
        <w:rPr>
          <w:rStyle w:val="FootnoteReference"/>
          <w:rFonts w:ascii="Calibri" w:hAnsi="Calibri"/>
          <w:vertAlign w:val="baseline"/>
        </w:rPr>
        <w:t>Scenarios of Climate Change in California: An Overview</w:t>
      </w:r>
      <w:r w:rsidRPr="00727A2F">
        <w:rPr>
          <w:rStyle w:val="FootnoteReference"/>
          <w:rFonts w:ascii="Calibri" w:hAnsi="Calibri"/>
          <w:vertAlign w:val="baseline"/>
        </w:rPr>
        <w:t>. http://www.climatechange.ca.gov/climate_action_team/reports/</w:t>
      </w:r>
    </w:p>
  </w:footnote>
  <w:footnote w:id="7">
    <w:p w:rsidR="00C31146" w:rsidRDefault="00C31146" w:rsidP="00C31146">
      <w:pPr>
        <w:pStyle w:val="FootnoteText"/>
        <w:spacing w:after="200" w:line="276" w:lineRule="auto"/>
      </w:pPr>
      <w:r w:rsidRPr="003E7B52">
        <w:rPr>
          <w:rStyle w:val="FootnoteReference"/>
          <w:rFonts w:ascii="Calibri" w:hAnsi="Calibri"/>
          <w:vertAlign w:val="baseline"/>
        </w:rPr>
        <w:footnoteRef/>
      </w:r>
      <w:r w:rsidRPr="003E7B52">
        <w:rPr>
          <w:rStyle w:val="FootnoteReference"/>
          <w:rFonts w:ascii="Calibri" w:hAnsi="Calibri"/>
          <w:vertAlign w:val="baseline"/>
        </w:rPr>
        <w:t xml:space="preserve"> Ca</w:t>
      </w:r>
      <w:r>
        <w:rPr>
          <w:rStyle w:val="FootnoteReference"/>
          <w:rFonts w:ascii="Calibri" w:hAnsi="Calibri"/>
          <w:vertAlign w:val="baseline"/>
        </w:rPr>
        <w:t>lifornia Energy Commission (2012</w:t>
      </w:r>
      <w:r w:rsidRPr="003E7B52">
        <w:rPr>
          <w:rStyle w:val="FootnoteReference"/>
          <w:rFonts w:ascii="Calibri" w:hAnsi="Calibri"/>
          <w:vertAlign w:val="baseline"/>
        </w:rPr>
        <w:t>). Energy Almanac. Retrieved August 201</w:t>
      </w:r>
      <w:r>
        <w:rPr>
          <w:rStyle w:val="FootnoteReference"/>
          <w:rFonts w:ascii="Calibri" w:hAnsi="Calibri"/>
          <w:vertAlign w:val="baseline"/>
        </w:rPr>
        <w:t>2</w:t>
      </w:r>
      <w:r w:rsidRPr="003E7B52">
        <w:rPr>
          <w:rStyle w:val="FootnoteReference"/>
          <w:rFonts w:ascii="Calibri" w:hAnsi="Calibri"/>
          <w:vertAlign w:val="baseline"/>
        </w:rPr>
        <w:t>, from</w:t>
      </w:r>
      <w:r>
        <w:rPr>
          <w:rFonts w:ascii="Calibri" w:hAnsi="Calibri"/>
        </w:rPr>
        <w:t xml:space="preserve"> </w:t>
      </w:r>
      <w:r w:rsidRPr="003E7B52">
        <w:rPr>
          <w:rStyle w:val="FootnoteReference"/>
          <w:rFonts w:ascii="Calibri" w:hAnsi="Calibri"/>
          <w:vertAlign w:val="baseline"/>
        </w:rPr>
        <w:t>http://energyalmanac.ca.gov/overview/index.html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C31146">
      <w:trPr>
        <w:trHeight w:val="475"/>
      </w:trPr>
      <w:tc>
        <w:tcPr>
          <w:tcW w:w="750" w:type="pct"/>
          <w:shd w:val="clear" w:color="auto" w:fill="D9D9D9"/>
          <w:vAlign w:val="center"/>
        </w:tcPr>
        <w:p w:rsidR="00C31146" w:rsidRPr="00581546" w:rsidRDefault="00C31146" w:rsidP="00C31146">
          <w:pPr>
            <w:pStyle w:val="Header"/>
            <w:jc w:val="center"/>
          </w:pPr>
          <w:r>
            <w:rPr>
              <w:sz w:val="32"/>
              <w:lang w:val="en-US" w:eastAsia="en-US"/>
            </w:rPr>
            <w:t>3.6</w:t>
          </w:r>
        </w:p>
      </w:tc>
      <w:tc>
        <w:tcPr>
          <w:tcW w:w="4250" w:type="pct"/>
          <w:shd w:val="clear" w:color="auto" w:fill="FFFFFF"/>
          <w:vAlign w:val="center"/>
        </w:tcPr>
        <w:p w:rsidR="00C31146" w:rsidRPr="00581546" w:rsidRDefault="00C31146" w:rsidP="00C31146">
          <w:pPr>
            <w:pStyle w:val="Header-EvenPage"/>
          </w:pPr>
          <w:r w:rsidRPr="00581546">
            <w:rPr>
              <w:lang w:val="en-US" w:eastAsia="en-US"/>
            </w:rPr>
            <w:t>Greenhouse Gases and Climate Change</w:t>
          </w:r>
        </w:p>
      </w:tc>
    </w:tr>
  </w:tbl>
  <w:p w:rsidR="00447718" w:rsidRDefault="00447718" w:rsidP="00EC1E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7711"/>
      <w:gridCol w:w="1361"/>
    </w:tblGrid>
    <w:tr w:rsidR="00C31146" w:rsidRPr="004437D4">
      <w:trPr>
        <w:trHeight w:val="475"/>
      </w:trPr>
      <w:tc>
        <w:tcPr>
          <w:tcW w:w="4250" w:type="pct"/>
          <w:shd w:val="clear" w:color="auto" w:fill="FFFFFF"/>
          <w:vAlign w:val="center"/>
        </w:tcPr>
        <w:p w:rsidR="00C31146" w:rsidRPr="00581546" w:rsidRDefault="00C31146" w:rsidP="00C31146">
          <w:pPr>
            <w:pStyle w:val="Header"/>
            <w:jc w:val="right"/>
            <w:rPr>
              <w:caps/>
              <w:color w:val="FFFFFF"/>
            </w:rPr>
          </w:pPr>
          <w:r w:rsidRPr="00581546">
            <w:rPr>
              <w:lang w:val="en-US" w:eastAsia="en-US"/>
            </w:rPr>
            <w:t>Greenhouse Gases and Climate Change</w:t>
          </w:r>
        </w:p>
      </w:tc>
      <w:tc>
        <w:tcPr>
          <w:tcW w:w="750" w:type="pct"/>
          <w:shd w:val="clear" w:color="auto" w:fill="D9D9D9"/>
          <w:vAlign w:val="center"/>
        </w:tcPr>
        <w:p w:rsidR="00C31146" w:rsidRPr="00581546" w:rsidRDefault="00C31146" w:rsidP="00C31146">
          <w:pPr>
            <w:pStyle w:val="Header"/>
            <w:jc w:val="center"/>
            <w:rPr>
              <w:sz w:val="32"/>
            </w:rPr>
          </w:pPr>
          <w:r>
            <w:rPr>
              <w:sz w:val="32"/>
              <w:lang w:val="en-US" w:eastAsia="en-US"/>
            </w:rPr>
            <w:t>3.6</w:t>
          </w:r>
        </w:p>
      </w:tc>
    </w:tr>
  </w:tbl>
  <w:p w:rsidR="00C31146" w:rsidRDefault="00C31146" w:rsidP="00C31146">
    <w:pPr>
      <w:pStyle w:val="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C31146" w:rsidRPr="00A65AF8">
      <w:trPr>
        <w:jc w:val="right"/>
      </w:trPr>
      <w:tc>
        <w:tcPr>
          <w:tcW w:w="4189" w:type="pct"/>
          <w:vAlign w:val="center"/>
        </w:tcPr>
        <w:p w:rsidR="00C31146" w:rsidRPr="00581546" w:rsidRDefault="00C31146" w:rsidP="00C31146">
          <w:pPr>
            <w:pStyle w:val="Header"/>
            <w:jc w:val="right"/>
          </w:pPr>
          <w:r w:rsidRPr="00581546">
            <w:rPr>
              <w:lang w:val="en-US" w:eastAsia="en-US"/>
            </w:rPr>
            <w:t>Greenhouse Gases and Climate Change</w:t>
          </w:r>
        </w:p>
      </w:tc>
      <w:tc>
        <w:tcPr>
          <w:tcW w:w="811" w:type="pct"/>
          <w:shd w:val="clear" w:color="auto" w:fill="D9D9D9"/>
          <w:vAlign w:val="center"/>
        </w:tcPr>
        <w:p w:rsidR="00C31146" w:rsidRPr="00581546" w:rsidRDefault="00C31146" w:rsidP="00C31146">
          <w:pPr>
            <w:pStyle w:val="Header"/>
            <w:jc w:val="center"/>
          </w:pPr>
          <w:r>
            <w:rPr>
              <w:lang w:val="en-US" w:eastAsia="en-US"/>
            </w:rPr>
            <w:t>3.6</w:t>
          </w:r>
        </w:p>
      </w:tc>
    </w:tr>
  </w:tbl>
  <w:p w:rsidR="00447718" w:rsidRDefault="00447718" w:rsidP="00EC1E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C7517"/>
    <w:multiLevelType w:val="hybridMultilevel"/>
    <w:tmpl w:val="4B04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9D61ED"/>
    <w:multiLevelType w:val="hybridMultilevel"/>
    <w:tmpl w:val="2476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C0A7F"/>
    <w:multiLevelType w:val="hybridMultilevel"/>
    <w:tmpl w:val="B272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C1B41"/>
    <w:multiLevelType w:val="hybridMultilevel"/>
    <w:tmpl w:val="8BB068A6"/>
    <w:lvl w:ilvl="0" w:tplc="A980428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E80122"/>
    <w:multiLevelType w:val="hybridMultilevel"/>
    <w:tmpl w:val="2A18529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Wingdings"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Wingdings"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AF25074"/>
    <w:multiLevelType w:val="hybridMultilevel"/>
    <w:tmpl w:val="291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436BB"/>
    <w:multiLevelType w:val="hybridMultilevel"/>
    <w:tmpl w:val="D21E4A80"/>
    <w:lvl w:ilvl="0" w:tplc="A980428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68431D"/>
    <w:multiLevelType w:val="hybridMultilevel"/>
    <w:tmpl w:val="F5182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80F0C"/>
    <w:multiLevelType w:val="hybridMultilevel"/>
    <w:tmpl w:val="7D244E82"/>
    <w:lvl w:ilvl="0" w:tplc="2BEE9630">
      <w:start w:val="1"/>
      <w:numFmt w:val="bullet"/>
      <w:pStyle w:val="ActionDetail"/>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F263C52"/>
    <w:multiLevelType w:val="hybridMultilevel"/>
    <w:tmpl w:val="A09295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D5A78"/>
    <w:multiLevelType w:val="hybridMultilevel"/>
    <w:tmpl w:val="0CDCC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A75DA9"/>
    <w:multiLevelType w:val="hybridMultilevel"/>
    <w:tmpl w:val="AE0EBE98"/>
    <w:lvl w:ilvl="0" w:tplc="9D44C7C0">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A44E0A"/>
    <w:multiLevelType w:val="hybridMultilevel"/>
    <w:tmpl w:val="5E2E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FE40F9"/>
    <w:multiLevelType w:val="hybridMultilevel"/>
    <w:tmpl w:val="A640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691914"/>
    <w:multiLevelType w:val="hybridMultilevel"/>
    <w:tmpl w:val="A224D74E"/>
    <w:lvl w:ilvl="0" w:tplc="A980428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E20106"/>
    <w:multiLevelType w:val="hybridMultilevel"/>
    <w:tmpl w:val="F4BEA206"/>
    <w:lvl w:ilvl="0" w:tplc="A980428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E359E5"/>
    <w:multiLevelType w:val="hybridMultilevel"/>
    <w:tmpl w:val="E74E2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813CE2"/>
    <w:multiLevelType w:val="hybridMultilevel"/>
    <w:tmpl w:val="BE648056"/>
    <w:lvl w:ilvl="0" w:tplc="561E3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8"/>
  </w:num>
  <w:num w:numId="5">
    <w:abstractNumId w:val="12"/>
  </w:num>
  <w:num w:numId="6">
    <w:abstractNumId w:val="9"/>
  </w:num>
  <w:num w:numId="7">
    <w:abstractNumId w:val="11"/>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6"/>
  </w:num>
  <w:num w:numId="12">
    <w:abstractNumId w:val="5"/>
  </w:num>
  <w:num w:numId="13">
    <w:abstractNumId w:val="17"/>
  </w:num>
  <w:num w:numId="14">
    <w:abstractNumId w:val="8"/>
  </w:num>
  <w:num w:numId="15">
    <w:abstractNumId w:val="7"/>
  </w:num>
  <w:num w:numId="16">
    <w:abstractNumId w:val="1"/>
  </w:num>
  <w:num w:numId="17">
    <w:abstractNumId w:val="19"/>
  </w:num>
  <w:num w:numId="18">
    <w:abstractNumId w:val="3"/>
  </w:num>
  <w:num w:numId="19">
    <w:abstractNumId w:val="15"/>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 w:name="DOCID" w:val="OK"/>
  </w:docVars>
  <w:rsids>
    <w:rsidRoot w:val="00E44588"/>
    <w:rsid w:val="000459E6"/>
    <w:rsid w:val="001744CD"/>
    <w:rsid w:val="00447718"/>
    <w:rsid w:val="00660560"/>
    <w:rsid w:val="006B43B1"/>
    <w:rsid w:val="007727B4"/>
    <w:rsid w:val="00780F96"/>
    <w:rsid w:val="0083448C"/>
    <w:rsid w:val="0084581C"/>
    <w:rsid w:val="0096266F"/>
    <w:rsid w:val="00A66A2D"/>
    <w:rsid w:val="00A90D86"/>
    <w:rsid w:val="00B52417"/>
    <w:rsid w:val="00BA5BC3"/>
    <w:rsid w:val="00C04614"/>
    <w:rsid w:val="00C31146"/>
    <w:rsid w:val="00C853B3"/>
    <w:rsid w:val="00DD4B46"/>
    <w:rsid w:val="00E44588"/>
    <w:rsid w:val="00EC1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 w:qFormat="1"/>
    <w:lsdException w:name="heading 5" w:uiPriority="9" w:qFormat="1"/>
    <w:lsdException w:name="heading 6" w:uiPriority="99" w:qFormat="1"/>
    <w:lsdException w:name="heading 7" w:uiPriority="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qFormat="1"/>
    <w:lsdException w:name="Body Text Indent" w:uiPriority="99"/>
    <w:lsdException w:name="Subtitle" w:qFormat="1"/>
    <w:lsdException w:name="Body Text 2" w:uiPriority="99"/>
    <w:lsdException w:name="Hyperlink" w:uiPriority="99"/>
    <w:lsdException w:name="Strong" w:uiPriority="22" w:qFormat="1"/>
    <w:lsdException w:name="Emphasis" w:uiPriority="99"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3B3"/>
    <w:pPr>
      <w:spacing w:after="200" w:line="264" w:lineRule="auto"/>
      <w:jc w:val="both"/>
      <w:pPrChange w:id="0" w:author="Vicki Parker" w:date="2014-07-22T19:17:00Z">
        <w:pPr>
          <w:spacing w:after="200" w:line="264" w:lineRule="auto"/>
          <w:jc w:val="both"/>
        </w:pPr>
      </w:pPrChange>
    </w:pPr>
    <w:rPr>
      <w:sz w:val="22"/>
      <w:szCs w:val="22"/>
      <w:rPrChange w:id="0" w:author="Vicki Parker" w:date="2014-07-22T19:17:00Z">
        <w:rPr>
          <w:rFonts w:ascii="Calibri" w:hAnsi="Calibri"/>
          <w:sz w:val="22"/>
          <w:szCs w:val="22"/>
          <w:lang w:val="en-US" w:eastAsia="en-US" w:bidi="ar-SA"/>
        </w:rPr>
      </w:rPrChange>
    </w:rPr>
  </w:style>
  <w:style w:type="paragraph" w:styleId="Heading1">
    <w:name w:val="heading 1"/>
    <w:basedOn w:val="Normal"/>
    <w:next w:val="Normal"/>
    <w:link w:val="Heading1Char"/>
    <w:uiPriority w:val="99"/>
    <w:qFormat/>
    <w:rsid w:val="00136D27"/>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9"/>
    <w:qFormat/>
    <w:rsid w:val="00136D27"/>
    <w:pPr>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9"/>
    <w:qFormat/>
    <w:rsid w:val="00877B93"/>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877B93"/>
    <w:pPr>
      <w:keepNext/>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A76537"/>
    <w:pPr>
      <w:keepNext/>
      <w:outlineLvl w:val="4"/>
    </w:pPr>
    <w:rPr>
      <w:rFonts w:ascii="Cambria" w:hAnsi="Cambria"/>
      <w:smallCaps/>
      <w:sz w:val="20"/>
      <w:lang w:val="x-none" w:eastAsia="x-none"/>
    </w:rPr>
  </w:style>
  <w:style w:type="paragraph" w:styleId="Heading6">
    <w:name w:val="heading 6"/>
    <w:basedOn w:val="Normal"/>
    <w:next w:val="Normal"/>
    <w:link w:val="Heading6Char"/>
    <w:uiPriority w:val="99"/>
    <w:qFormat/>
    <w:rsid w:val="00136D27"/>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136D27"/>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9"/>
    <w:qFormat/>
    <w:rsid w:val="00136D27"/>
    <w:pPr>
      <w:spacing w:after="0"/>
      <w:jc w:val="left"/>
      <w:outlineLvl w:val="7"/>
    </w:pPr>
  </w:style>
  <w:style w:type="paragraph" w:styleId="Heading9">
    <w:name w:val="heading 9"/>
    <w:basedOn w:val="Normal"/>
    <w:next w:val="Normal"/>
    <w:link w:val="Heading9Char"/>
    <w:uiPriority w:val="99"/>
    <w:qFormat/>
    <w:rsid w:val="00136D27"/>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9"/>
    <w:rsid w:val="00477926"/>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9"/>
    <w:rsid w:val="00350F4A"/>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BF10C1"/>
    <w:rPr>
      <w:rFonts w:ascii="Cambria" w:eastAsia="Times New Roman" w:hAnsi="Cambria" w:cs="Times New Roman"/>
      <w:smallCaps/>
      <w:szCs w:val="22"/>
      <w:lang w:bidi="ar-SA"/>
    </w:rPr>
  </w:style>
  <w:style w:type="character" w:customStyle="1" w:styleId="Heading6Char">
    <w:name w:val="Heading 6 Char"/>
    <w:link w:val="Heading6"/>
    <w:uiPriority w:val="9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9"/>
    <w:rsid w:val="00477926"/>
    <w:rPr>
      <w:rFonts w:ascii="Cambria" w:eastAsia="Times New Roman" w:hAnsi="Cambria" w:cs="Times New Roman"/>
      <w:smallCaps/>
      <w:sz w:val="20"/>
      <w:szCs w:val="22"/>
      <w:lang w:bidi="ar-SA"/>
    </w:rPr>
  </w:style>
  <w:style w:type="character" w:customStyle="1" w:styleId="Heading9Char">
    <w:name w:val="Heading 9 Char"/>
    <w:link w:val="Heading9"/>
    <w:uiPriority w:val="9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nhideWhenUsed/>
    <w:rsid w:val="00136D27"/>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136D27"/>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99"/>
    <w:qFormat/>
    <w:rsid w:val="00136D27"/>
    <w:pPr>
      <w:spacing w:after="160"/>
      <w:ind w:left="2160"/>
    </w:pPr>
    <w:rPr>
      <w:i/>
      <w:iCs/>
      <w:color w:val="0F243E"/>
      <w:szCs w:val="20"/>
      <w:lang w:bidi="en-US"/>
    </w:rPr>
  </w:style>
  <w:style w:type="character" w:styleId="Emphasis">
    <w:name w:val="Emphasis"/>
    <w:uiPriority w:val="99"/>
    <w:qFormat/>
    <w:rsid w:val="00136D27"/>
    <w:rPr>
      <w:i/>
      <w:iCs/>
    </w:rPr>
  </w:style>
  <w:style w:type="paragraph" w:styleId="Footer">
    <w:name w:val="footer"/>
    <w:basedOn w:val="Normal"/>
    <w:link w:val="FooterChar"/>
    <w:uiPriority w:val="99"/>
    <w:unhideWhenUsed/>
    <w:rsid w:val="00136D27"/>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136D27"/>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136D27"/>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136D27"/>
    <w:rPr>
      <w:rFonts w:ascii="Cambria" w:eastAsia="Times New Roman" w:hAnsi="Cambria" w:cs="Times New Roman"/>
      <w:smallCaps/>
      <w:spacing w:val="5"/>
      <w:sz w:val="36"/>
      <w:szCs w:val="36"/>
      <w:lang w:bidi="ar-SA"/>
    </w:rPr>
  </w:style>
  <w:style w:type="paragraph" w:customStyle="1" w:styleId="Header-EvenPage">
    <w:name w:val="Header - Even Page"/>
    <w:basedOn w:val="Header"/>
    <w:uiPriority w:val="99"/>
    <w:qFormat/>
    <w:rsid w:val="00136D27"/>
    <w:rPr>
      <w:sz w:val="32"/>
    </w:rPr>
  </w:style>
  <w:style w:type="character" w:styleId="Hyperlink">
    <w:name w:val="Hyperlink"/>
    <w:uiPriority w:val="99"/>
    <w:unhideWhenUsed/>
    <w:rsid w:val="00136D27"/>
    <w:rPr>
      <w:color w:val="0000FF"/>
      <w:u w:val="single"/>
    </w:rPr>
  </w:style>
  <w:style w:type="character" w:customStyle="1" w:styleId="Impact-MMChar">
    <w:name w:val="Impact-MM Char"/>
    <w:uiPriority w:val="99"/>
    <w:rsid w:val="00136D27"/>
    <w:rPr>
      <w:rFonts w:ascii="Century Gothic" w:hAnsi="Century Gothic"/>
      <w:bCs/>
      <w:szCs w:val="24"/>
      <w:lang w:val="en-US" w:eastAsia="en-US" w:bidi="ar-SA"/>
    </w:rPr>
  </w:style>
  <w:style w:type="paragraph" w:styleId="ListBullet">
    <w:name w:val="List Bullet"/>
    <w:basedOn w:val="Normal"/>
    <w:uiPriority w:val="99"/>
    <w:unhideWhenUsed/>
    <w:qFormat/>
    <w:rsid w:val="00136D27"/>
    <w:pPr>
      <w:numPr>
        <w:numId w:val="1"/>
      </w:numPr>
      <w:contextualSpacing/>
    </w:pPr>
  </w:style>
  <w:style w:type="paragraph" w:styleId="ListBullet2">
    <w:name w:val="List Bullet 2"/>
    <w:basedOn w:val="Normal"/>
    <w:uiPriority w:val="99"/>
    <w:unhideWhenUsed/>
    <w:qFormat/>
    <w:rsid w:val="00136D27"/>
    <w:pPr>
      <w:numPr>
        <w:numId w:val="2"/>
      </w:numPr>
      <w:contextualSpacing/>
    </w:pPr>
  </w:style>
  <w:style w:type="paragraph" w:styleId="ListBullet3">
    <w:name w:val="List Bullet 3"/>
    <w:basedOn w:val="Normal"/>
    <w:uiPriority w:val="99"/>
    <w:unhideWhenUsed/>
    <w:qFormat/>
    <w:rsid w:val="00136D27"/>
    <w:pPr>
      <w:tabs>
        <w:tab w:val="num" w:pos="1080"/>
      </w:tabs>
      <w:ind w:left="1080" w:hanging="360"/>
      <w:contextualSpacing/>
    </w:pPr>
  </w:style>
  <w:style w:type="paragraph" w:styleId="ListNumber">
    <w:name w:val="List Number"/>
    <w:basedOn w:val="Normal"/>
    <w:uiPriority w:val="99"/>
    <w:unhideWhenUsed/>
    <w:rsid w:val="00136D27"/>
    <w:pPr>
      <w:tabs>
        <w:tab w:val="num" w:pos="360"/>
      </w:tabs>
      <w:ind w:left="360" w:hanging="360"/>
      <w:contextualSpacing/>
    </w:pPr>
  </w:style>
  <w:style w:type="paragraph" w:styleId="ListNumber2">
    <w:name w:val="List Number 2"/>
    <w:basedOn w:val="Normal"/>
    <w:uiPriority w:val="99"/>
    <w:unhideWhenUsed/>
    <w:rsid w:val="00136D27"/>
    <w:pPr>
      <w:tabs>
        <w:tab w:val="num" w:pos="720"/>
      </w:tabs>
      <w:ind w:left="720" w:hanging="360"/>
      <w:contextualSpacing/>
    </w:pPr>
  </w:style>
  <w:style w:type="paragraph" w:styleId="ListNumber3">
    <w:name w:val="List Number 3"/>
    <w:basedOn w:val="Normal"/>
    <w:uiPriority w:val="99"/>
    <w:unhideWhenUsed/>
    <w:rsid w:val="00136D27"/>
    <w:pPr>
      <w:tabs>
        <w:tab w:val="num" w:pos="1080"/>
      </w:tabs>
      <w:ind w:left="1080" w:hanging="360"/>
      <w:contextualSpacing/>
    </w:pPr>
  </w:style>
  <w:style w:type="paragraph" w:customStyle="1" w:styleId="MediumList2-Accent41">
    <w:name w:val="Medium List 2 - Accent 41"/>
    <w:basedOn w:val="Normal"/>
    <w:uiPriority w:val="34"/>
    <w:qFormat/>
    <w:rsid w:val="00136D27"/>
    <w:pPr>
      <w:ind w:left="1080" w:hanging="360"/>
      <w:contextualSpacing/>
    </w:pPr>
  </w:style>
  <w:style w:type="paragraph" w:customStyle="1" w:styleId="ColorfulList-Accent21">
    <w:name w:val="Colorful List - Accent 21"/>
    <w:link w:val="ColorfulList-Accent2Char"/>
    <w:qFormat/>
    <w:rsid w:val="00136D27"/>
    <w:pPr>
      <w:jc w:val="both"/>
    </w:pPr>
    <w:rPr>
      <w:sz w:val="22"/>
      <w:szCs w:val="22"/>
    </w:rPr>
  </w:style>
  <w:style w:type="paragraph" w:styleId="NormalWeb">
    <w:name w:val="Normal (Web)"/>
    <w:basedOn w:val="Normal"/>
    <w:uiPriority w:val="99"/>
    <w:unhideWhenUsed/>
    <w:rsid w:val="00136D27"/>
    <w:pPr>
      <w:spacing w:before="168" w:after="216" w:line="240" w:lineRule="auto"/>
      <w:jc w:val="left"/>
    </w:pPr>
    <w:rPr>
      <w:rFonts w:ascii="Times New Roman" w:hAnsi="Times New Roman"/>
      <w:sz w:val="24"/>
      <w:szCs w:val="24"/>
    </w:rPr>
  </w:style>
  <w:style w:type="paragraph" w:customStyle="1" w:styleId="MediumGrid1-Accent41">
    <w:name w:val="Medium Grid 1 - Accent 41"/>
    <w:basedOn w:val="Normal"/>
    <w:next w:val="Normal"/>
    <w:link w:val="MediumGrid1-Accent4Char"/>
    <w:uiPriority w:val="99"/>
    <w:qFormat/>
    <w:rsid w:val="00136D27"/>
    <w:rPr>
      <w:i/>
      <w:lang w:val="x-none" w:eastAsia="x-none"/>
    </w:rPr>
  </w:style>
  <w:style w:type="character" w:customStyle="1" w:styleId="MediumGrid1-Accent4Char">
    <w:name w:val="Medium Grid 1 - Accent 4 Char"/>
    <w:link w:val="MediumGrid1-Accent41"/>
    <w:uiPriority w:val="99"/>
    <w:rsid w:val="00136D27"/>
    <w:rPr>
      <w:rFonts w:ascii="Calibri" w:eastAsia="Times New Roman" w:hAnsi="Calibri" w:cs="Times New Roman"/>
      <w:i/>
      <w:sz w:val="22"/>
      <w:szCs w:val="22"/>
      <w:lang w:bidi="ar-SA"/>
    </w:rPr>
  </w:style>
  <w:style w:type="paragraph" w:customStyle="1" w:styleId="Source">
    <w:name w:val="Source"/>
    <w:next w:val="Normal"/>
    <w:qFormat/>
    <w:rsid w:val="00136D27"/>
    <w:pPr>
      <w:spacing w:after="160" w:line="288" w:lineRule="auto"/>
      <w:ind w:left="90"/>
      <w:jc w:val="both"/>
    </w:pPr>
    <w:rPr>
      <w:i/>
      <w:iCs/>
      <w:smallCaps/>
      <w:lang w:bidi="en-US"/>
    </w:rPr>
  </w:style>
  <w:style w:type="character" w:customStyle="1" w:styleId="SubtleEmphasis1">
    <w:name w:val="Subtle Emphasis1"/>
    <w:uiPriority w:val="99"/>
    <w:qFormat/>
    <w:rsid w:val="00136D27"/>
    <w:rPr>
      <w:i/>
      <w:iCs/>
      <w:color w:val="808080"/>
    </w:rPr>
  </w:style>
  <w:style w:type="character" w:customStyle="1" w:styleId="SubtleEmphasis10">
    <w:name w:val="Subtle Emphasis1"/>
    <w:uiPriority w:val="99"/>
    <w:qFormat/>
    <w:rsid w:val="00136D27"/>
    <w:rPr>
      <w:smallCaps/>
      <w:dstrike w:val="0"/>
      <w:color w:val="5A5A5A"/>
      <w:vertAlign w:val="baseline"/>
    </w:rPr>
  </w:style>
  <w:style w:type="table" w:styleId="TableGrid">
    <w:name w:val="Table Grid"/>
    <w:basedOn w:val="TableNormal"/>
    <w:uiPriority w:val="99"/>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99"/>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575714"/>
    <w:pPr>
      <w:shd w:val="clear" w:color="auto" w:fill="D9D9D9"/>
      <w:jc w:val="center"/>
    </w:pPr>
    <w:rPr>
      <w:i/>
    </w:rPr>
  </w:style>
  <w:style w:type="paragraph" w:customStyle="1" w:styleId="TableText">
    <w:name w:val="Table Text"/>
    <w:basedOn w:val="Normal"/>
    <w:rsid w:val="00136D27"/>
    <w:pPr>
      <w:spacing w:before="120" w:after="120" w:line="240" w:lineRule="auto"/>
    </w:pPr>
    <w:rPr>
      <w:rFonts w:ascii="Cambria" w:hAnsi="Cambria"/>
      <w:sz w:val="18"/>
      <w:szCs w:val="18"/>
    </w:rPr>
  </w:style>
  <w:style w:type="paragraph" w:customStyle="1" w:styleId="TextBox">
    <w:name w:val="Text Box"/>
    <w:basedOn w:val="Normal"/>
    <w:uiPriority w:val="99"/>
    <w:rsid w:val="00136D27"/>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99"/>
    <w:unhideWhenUsed/>
    <w:qFormat/>
    <w:rsid w:val="00136D27"/>
    <w:pPr>
      <w:outlineLvl w:val="9"/>
    </w:pPr>
  </w:style>
  <w:style w:type="paragraph" w:customStyle="1" w:styleId="TOCHeading10">
    <w:name w:val="TOC Heading1"/>
    <w:basedOn w:val="Heading1"/>
    <w:next w:val="Normal"/>
    <w:uiPriority w:val="99"/>
    <w:unhideWhenUsed/>
    <w:qFormat/>
    <w:rsid w:val="00136D27"/>
  </w:style>
  <w:style w:type="paragraph" w:customStyle="1" w:styleId="MediumList1-Accent41">
    <w:name w:val="Medium List 1 - Accent 41"/>
    <w:hidden/>
    <w:rsid w:val="00BF1663"/>
    <w:rPr>
      <w:sz w:val="22"/>
      <w:szCs w:val="22"/>
    </w:rPr>
  </w:style>
  <w:style w:type="character" w:styleId="Strong">
    <w:name w:val="Strong"/>
    <w:uiPriority w:val="22"/>
    <w:qFormat/>
    <w:rsid w:val="00E4338C"/>
    <w:rPr>
      <w:b/>
      <w:bCs/>
    </w:rPr>
  </w:style>
  <w:style w:type="character" w:styleId="CommentReference">
    <w:name w:val="annotation reference"/>
    <w:uiPriority w:val="99"/>
    <w:rsid w:val="0068669B"/>
    <w:rPr>
      <w:sz w:val="16"/>
      <w:szCs w:val="16"/>
    </w:rPr>
  </w:style>
  <w:style w:type="paragraph" w:styleId="CommentText">
    <w:name w:val="annotation text"/>
    <w:basedOn w:val="Normal"/>
    <w:link w:val="CommentTextChar"/>
    <w:uiPriority w:val="99"/>
    <w:rsid w:val="0068669B"/>
    <w:pPr>
      <w:spacing w:line="240" w:lineRule="auto"/>
    </w:pPr>
    <w:rPr>
      <w:sz w:val="20"/>
      <w:szCs w:val="20"/>
      <w:lang w:val="x-none" w:eastAsia="x-none"/>
    </w:rPr>
  </w:style>
  <w:style w:type="character" w:customStyle="1" w:styleId="CommentTextChar">
    <w:name w:val="Comment Text Char"/>
    <w:link w:val="CommentText"/>
    <w:uiPriority w:val="99"/>
    <w:rsid w:val="0068669B"/>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rsid w:val="0068669B"/>
    <w:rPr>
      <w:b/>
      <w:bCs/>
    </w:rPr>
  </w:style>
  <w:style w:type="character" w:customStyle="1" w:styleId="CommentSubjectChar">
    <w:name w:val="Comment Subject Char"/>
    <w:link w:val="CommentSubject"/>
    <w:rsid w:val="0068669B"/>
    <w:rPr>
      <w:rFonts w:ascii="Calibri" w:eastAsia="Times New Roman" w:hAnsi="Calibri" w:cs="Times New Roman"/>
      <w:b/>
      <w:bCs/>
      <w:sz w:val="20"/>
      <w:szCs w:val="20"/>
      <w:lang w:bidi="ar-SA"/>
    </w:rPr>
  </w:style>
  <w:style w:type="paragraph" w:customStyle="1" w:styleId="Figure">
    <w:name w:val="Figure"/>
    <w:basedOn w:val="Normal"/>
    <w:link w:val="FigureChar"/>
    <w:qFormat/>
    <w:rsid w:val="00D216DE"/>
    <w:pPr>
      <w:keepNext/>
      <w:spacing w:after="260" w:line="240" w:lineRule="auto"/>
      <w:jc w:val="left"/>
    </w:pPr>
    <w:rPr>
      <w:rFonts w:ascii="Arial" w:hAnsi="Arial" w:cs="Arial"/>
      <w:b/>
      <w:bCs/>
      <w:szCs w:val="26"/>
      <w:lang w:val="x-none" w:eastAsia="x-none"/>
    </w:rPr>
  </w:style>
  <w:style w:type="character" w:customStyle="1" w:styleId="FigureChar">
    <w:name w:val="Figure Char"/>
    <w:link w:val="Figure"/>
    <w:rsid w:val="00D216DE"/>
    <w:rPr>
      <w:rFonts w:ascii="Arial" w:eastAsia="Times New Roman" w:hAnsi="Arial" w:cs="Arial"/>
      <w:b/>
      <w:bCs/>
      <w:sz w:val="22"/>
      <w:szCs w:val="26"/>
      <w:lang w:bidi="ar-SA"/>
    </w:rPr>
  </w:style>
  <w:style w:type="paragraph" w:customStyle="1" w:styleId="Level1">
    <w:name w:val="Level 1"/>
    <w:basedOn w:val="Normal"/>
    <w:rsid w:val="00AA0345"/>
    <w:pPr>
      <w:widowControl w:val="0"/>
      <w:spacing w:after="0" w:line="240" w:lineRule="auto"/>
      <w:jc w:val="left"/>
    </w:pPr>
    <w:rPr>
      <w:sz w:val="24"/>
      <w:szCs w:val="24"/>
    </w:rPr>
  </w:style>
  <w:style w:type="paragraph" w:customStyle="1" w:styleId="rtp-heading9">
    <w:name w:val="rtp-heading9"/>
    <w:basedOn w:val="Normal"/>
    <w:uiPriority w:val="99"/>
    <w:rsid w:val="00AA0345"/>
    <w:pPr>
      <w:widowControl w:val="0"/>
      <w:spacing w:after="0" w:line="240" w:lineRule="auto"/>
      <w:jc w:val="left"/>
    </w:pPr>
    <w:rPr>
      <w:rFonts w:ascii="Swis721 BlkEx BT" w:hAnsi="Swis721 BlkEx BT" w:cs="Swis721 BlkEx BT"/>
      <w:i/>
      <w:iCs/>
      <w:sz w:val="28"/>
      <w:szCs w:val="28"/>
    </w:rPr>
  </w:style>
  <w:style w:type="paragraph" w:customStyle="1" w:styleId="P-9">
    <w:name w:val="P-9"/>
    <w:basedOn w:val="Normal"/>
    <w:uiPriority w:val="99"/>
    <w:rsid w:val="00AA0345"/>
    <w:pPr>
      <w:widowControl w:val="0"/>
      <w:spacing w:after="0" w:line="240" w:lineRule="auto"/>
      <w:jc w:val="left"/>
    </w:pPr>
    <w:rPr>
      <w:sz w:val="24"/>
      <w:szCs w:val="24"/>
    </w:rPr>
  </w:style>
  <w:style w:type="paragraph" w:customStyle="1" w:styleId="I-9">
    <w:name w:val="I-9"/>
    <w:basedOn w:val="Normal"/>
    <w:uiPriority w:val="99"/>
    <w:rsid w:val="00AA0345"/>
    <w:pPr>
      <w:widowControl w:val="0"/>
      <w:spacing w:after="0" w:line="240" w:lineRule="auto"/>
      <w:jc w:val="left"/>
    </w:pPr>
    <w:rPr>
      <w:sz w:val="24"/>
      <w:szCs w:val="24"/>
    </w:rPr>
  </w:style>
  <w:style w:type="paragraph" w:customStyle="1" w:styleId="ABC-7">
    <w:name w:val="ABC-7"/>
    <w:basedOn w:val="Normal"/>
    <w:uiPriority w:val="99"/>
    <w:rsid w:val="00AA0345"/>
    <w:pPr>
      <w:widowControl w:val="0"/>
      <w:spacing w:after="0" w:line="240" w:lineRule="auto"/>
      <w:jc w:val="left"/>
    </w:pPr>
    <w:rPr>
      <w:sz w:val="24"/>
      <w:szCs w:val="24"/>
    </w:rPr>
  </w:style>
  <w:style w:type="paragraph" w:customStyle="1" w:styleId="P-7">
    <w:name w:val="P-7"/>
    <w:basedOn w:val="Normal"/>
    <w:uiPriority w:val="99"/>
    <w:rsid w:val="00AA0345"/>
    <w:pPr>
      <w:widowControl w:val="0"/>
      <w:spacing w:after="0" w:line="240" w:lineRule="auto"/>
      <w:jc w:val="left"/>
    </w:pPr>
    <w:rPr>
      <w:sz w:val="24"/>
      <w:szCs w:val="24"/>
    </w:rPr>
  </w:style>
  <w:style w:type="paragraph" w:customStyle="1" w:styleId="font5">
    <w:name w:val="font5"/>
    <w:basedOn w:val="Normal"/>
    <w:uiPriority w:val="99"/>
    <w:rsid w:val="00AA0345"/>
    <w:pPr>
      <w:spacing w:before="100" w:beforeAutospacing="1" w:after="100" w:afterAutospacing="1" w:line="240" w:lineRule="auto"/>
      <w:jc w:val="left"/>
    </w:pPr>
    <w:rPr>
      <w:rFonts w:ascii="Arial" w:hAnsi="Arial" w:cs="Arial"/>
      <w:b/>
      <w:bCs/>
      <w:sz w:val="16"/>
      <w:szCs w:val="16"/>
    </w:rPr>
  </w:style>
  <w:style w:type="paragraph" w:customStyle="1" w:styleId="ABC-6">
    <w:name w:val="ABC-6"/>
    <w:basedOn w:val="Normal"/>
    <w:uiPriority w:val="99"/>
    <w:rsid w:val="00AA0345"/>
    <w:pPr>
      <w:widowControl w:val="0"/>
      <w:spacing w:after="0" w:line="240" w:lineRule="auto"/>
      <w:jc w:val="left"/>
    </w:pPr>
    <w:rPr>
      <w:sz w:val="24"/>
      <w:szCs w:val="24"/>
    </w:rPr>
  </w:style>
  <w:style w:type="paragraph" w:customStyle="1" w:styleId="O-6">
    <w:name w:val="O-6"/>
    <w:basedOn w:val="Normal"/>
    <w:uiPriority w:val="99"/>
    <w:rsid w:val="00AA0345"/>
    <w:pPr>
      <w:widowControl w:val="0"/>
      <w:spacing w:after="0" w:line="240" w:lineRule="auto"/>
      <w:jc w:val="left"/>
    </w:pPr>
    <w:rPr>
      <w:sz w:val="24"/>
      <w:szCs w:val="24"/>
    </w:rPr>
  </w:style>
  <w:style w:type="paragraph" w:styleId="BodyTextIndent">
    <w:name w:val="Body Text Indent"/>
    <w:basedOn w:val="Normal"/>
    <w:link w:val="BodyTextIndentChar"/>
    <w:uiPriority w:val="99"/>
    <w:rsid w:val="00AA0345"/>
    <w:pPr>
      <w:spacing w:after="0" w:line="240" w:lineRule="auto"/>
      <w:ind w:left="720" w:hanging="720"/>
    </w:pPr>
    <w:rPr>
      <w:rFonts w:ascii="Arial" w:hAnsi="Arial" w:cs="Arial"/>
      <w:sz w:val="20"/>
      <w:szCs w:val="20"/>
      <w:lang w:val="x-none" w:eastAsia="x-none"/>
    </w:rPr>
  </w:style>
  <w:style w:type="character" w:customStyle="1" w:styleId="BodyTextIndentChar">
    <w:name w:val="Body Text Indent Char"/>
    <w:link w:val="BodyTextIndent"/>
    <w:uiPriority w:val="99"/>
    <w:rsid w:val="00AA0345"/>
    <w:rPr>
      <w:rFonts w:ascii="Arial" w:eastAsia="Times New Roman" w:hAnsi="Arial" w:cs="Arial"/>
      <w:lang w:bidi="ar-SA"/>
    </w:rPr>
  </w:style>
  <w:style w:type="paragraph" w:customStyle="1" w:styleId="ABC-8">
    <w:name w:val="ABC-8"/>
    <w:basedOn w:val="Normal"/>
    <w:uiPriority w:val="99"/>
    <w:rsid w:val="00AA0345"/>
    <w:pPr>
      <w:widowControl w:val="0"/>
      <w:spacing w:after="0" w:line="240" w:lineRule="auto"/>
      <w:jc w:val="left"/>
    </w:pPr>
    <w:rPr>
      <w:sz w:val="24"/>
      <w:szCs w:val="24"/>
    </w:rPr>
  </w:style>
  <w:style w:type="character" w:styleId="PageNumber">
    <w:name w:val="page number"/>
    <w:basedOn w:val="DefaultParagraphFont"/>
    <w:rsid w:val="00AA0345"/>
  </w:style>
  <w:style w:type="paragraph" w:customStyle="1" w:styleId="O-10">
    <w:name w:val="O-10"/>
    <w:basedOn w:val="Normal"/>
    <w:uiPriority w:val="99"/>
    <w:rsid w:val="00AA0345"/>
    <w:pPr>
      <w:widowControl w:val="0"/>
      <w:spacing w:after="0" w:line="240" w:lineRule="auto"/>
      <w:jc w:val="left"/>
    </w:pPr>
    <w:rPr>
      <w:sz w:val="24"/>
      <w:szCs w:val="24"/>
    </w:rPr>
  </w:style>
  <w:style w:type="paragraph" w:customStyle="1" w:styleId="P-10">
    <w:name w:val="P-10"/>
    <w:basedOn w:val="Normal"/>
    <w:uiPriority w:val="99"/>
    <w:rsid w:val="00AA0345"/>
    <w:pPr>
      <w:widowControl w:val="0"/>
      <w:spacing w:after="0" w:line="240" w:lineRule="auto"/>
      <w:jc w:val="left"/>
    </w:pPr>
    <w:rPr>
      <w:sz w:val="24"/>
      <w:szCs w:val="24"/>
    </w:rPr>
  </w:style>
  <w:style w:type="paragraph" w:customStyle="1" w:styleId="O-11">
    <w:name w:val="O-11"/>
    <w:basedOn w:val="Normal"/>
    <w:uiPriority w:val="99"/>
    <w:rsid w:val="00AA0345"/>
    <w:pPr>
      <w:widowControl w:val="0"/>
      <w:spacing w:after="0" w:line="240" w:lineRule="auto"/>
      <w:jc w:val="left"/>
    </w:pPr>
    <w:rPr>
      <w:sz w:val="24"/>
      <w:szCs w:val="24"/>
    </w:rPr>
  </w:style>
  <w:style w:type="paragraph" w:customStyle="1" w:styleId="P-11">
    <w:name w:val="P-11"/>
    <w:basedOn w:val="Normal"/>
    <w:uiPriority w:val="99"/>
    <w:rsid w:val="00AA0345"/>
    <w:pPr>
      <w:widowControl w:val="0"/>
      <w:spacing w:after="0" w:line="240" w:lineRule="auto"/>
      <w:jc w:val="left"/>
    </w:pPr>
    <w:rPr>
      <w:sz w:val="24"/>
      <w:szCs w:val="24"/>
    </w:rPr>
  </w:style>
  <w:style w:type="paragraph" w:customStyle="1" w:styleId="O-12">
    <w:name w:val="O-12"/>
    <w:basedOn w:val="Normal"/>
    <w:uiPriority w:val="99"/>
    <w:rsid w:val="00AA0345"/>
    <w:pPr>
      <w:widowControl w:val="0"/>
      <w:spacing w:after="0" w:line="240" w:lineRule="auto"/>
      <w:jc w:val="left"/>
    </w:pPr>
    <w:rPr>
      <w:sz w:val="24"/>
      <w:szCs w:val="24"/>
    </w:rPr>
  </w:style>
  <w:style w:type="paragraph" w:customStyle="1" w:styleId="P-12">
    <w:name w:val="P-12"/>
    <w:basedOn w:val="Normal"/>
    <w:uiPriority w:val="99"/>
    <w:rsid w:val="00AA0345"/>
    <w:pPr>
      <w:widowControl w:val="0"/>
      <w:spacing w:after="0" w:line="240" w:lineRule="auto"/>
      <w:jc w:val="left"/>
    </w:pPr>
    <w:rPr>
      <w:sz w:val="24"/>
      <w:szCs w:val="24"/>
    </w:rPr>
  </w:style>
  <w:style w:type="paragraph" w:styleId="BodyText2">
    <w:name w:val="Body Text 2"/>
    <w:basedOn w:val="Normal"/>
    <w:link w:val="BodyText2Char"/>
    <w:uiPriority w:val="99"/>
    <w:rsid w:val="00AA0345"/>
    <w:pPr>
      <w:spacing w:after="120" w:line="480" w:lineRule="auto"/>
    </w:pPr>
    <w:rPr>
      <w:rFonts w:cs="Calibri"/>
      <w:lang w:val="x-none" w:eastAsia="x-none"/>
    </w:rPr>
  </w:style>
  <w:style w:type="character" w:customStyle="1" w:styleId="BodyText2Char">
    <w:name w:val="Body Text 2 Char"/>
    <w:link w:val="BodyText2"/>
    <w:uiPriority w:val="99"/>
    <w:rsid w:val="00AA0345"/>
    <w:rPr>
      <w:rFonts w:ascii="Calibri" w:eastAsia="Times New Roman" w:hAnsi="Calibri" w:cs="Calibri"/>
      <w:sz w:val="22"/>
      <w:szCs w:val="22"/>
      <w:lang w:bidi="ar-SA"/>
    </w:rPr>
  </w:style>
  <w:style w:type="paragraph" w:styleId="BodyText">
    <w:name w:val="Body Text"/>
    <w:basedOn w:val="Normal"/>
    <w:link w:val="BodyTextChar"/>
    <w:unhideWhenUsed/>
    <w:rsid w:val="00AA0345"/>
    <w:pPr>
      <w:spacing w:after="120"/>
    </w:pPr>
    <w:rPr>
      <w:rFonts w:cs="Calibri"/>
      <w:lang w:val="x-none" w:eastAsia="x-none"/>
    </w:rPr>
  </w:style>
  <w:style w:type="character" w:customStyle="1" w:styleId="BodyTextChar">
    <w:name w:val="Body Text Char"/>
    <w:link w:val="BodyText"/>
    <w:rsid w:val="00AA0345"/>
    <w:rPr>
      <w:rFonts w:ascii="Calibri" w:eastAsia="Times New Roman" w:hAnsi="Calibri" w:cs="Calibri"/>
      <w:sz w:val="22"/>
      <w:szCs w:val="22"/>
      <w:lang w:bidi="ar-SA"/>
    </w:rPr>
  </w:style>
  <w:style w:type="paragraph" w:customStyle="1" w:styleId="xl24">
    <w:name w:val="xl24"/>
    <w:basedOn w:val="Normal"/>
    <w:rsid w:val="00AA0345"/>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PSourceandNote">
    <w:name w:val="F&amp;P Source and Note"/>
    <w:basedOn w:val="Normal"/>
    <w:rsid w:val="00F64905"/>
    <w:pPr>
      <w:autoSpaceDE w:val="0"/>
      <w:autoSpaceDN w:val="0"/>
      <w:adjustRightInd w:val="0"/>
      <w:spacing w:before="60" w:after="60"/>
      <w:ind w:left="360" w:right="72" w:hanging="288"/>
    </w:pPr>
    <w:rPr>
      <w:rFonts w:ascii="Arial" w:hAnsi="Arial" w:cs="Arial"/>
      <w:color w:val="000000"/>
      <w:sz w:val="16"/>
      <w:szCs w:val="20"/>
    </w:rPr>
  </w:style>
  <w:style w:type="character" w:customStyle="1" w:styleId="style11">
    <w:name w:val="style11"/>
    <w:rsid w:val="00A542EC"/>
    <w:rPr>
      <w:rFonts w:ascii="Arial" w:hAnsi="Arial" w:cs="Arial" w:hint="default"/>
      <w:color w:val="FF9900"/>
      <w:u w:val="single"/>
    </w:rPr>
  </w:style>
  <w:style w:type="character" w:customStyle="1" w:styleId="style21">
    <w:name w:val="style21"/>
    <w:rsid w:val="00A542EC"/>
    <w:rPr>
      <w:rFonts w:ascii="Arial" w:hAnsi="Arial" w:cs="Arial" w:hint="default"/>
      <w:color w:val="FF9900"/>
      <w:sz w:val="20"/>
      <w:szCs w:val="20"/>
      <w:u w:val="single"/>
    </w:rPr>
  </w:style>
  <w:style w:type="paragraph" w:styleId="FootnoteText">
    <w:name w:val="footnote text"/>
    <w:basedOn w:val="Normal"/>
    <w:link w:val="FootnoteTextChar"/>
    <w:uiPriority w:val="99"/>
    <w:rsid w:val="00F71D0B"/>
    <w:pPr>
      <w:spacing w:after="0" w:line="240" w:lineRule="auto"/>
      <w:jc w:val="left"/>
    </w:pPr>
    <w:rPr>
      <w:rFonts w:ascii="Times New Roman" w:hAnsi="Times New Roman"/>
      <w:sz w:val="20"/>
      <w:szCs w:val="20"/>
      <w:lang w:val="x-none" w:eastAsia="x-none"/>
    </w:rPr>
  </w:style>
  <w:style w:type="character" w:customStyle="1" w:styleId="FootnoteTextChar">
    <w:name w:val="Footnote Text Char"/>
    <w:link w:val="FootnoteText"/>
    <w:uiPriority w:val="99"/>
    <w:rsid w:val="00F71D0B"/>
    <w:rPr>
      <w:rFonts w:ascii="Times New Roman" w:hAnsi="Times New Roman"/>
    </w:rPr>
  </w:style>
  <w:style w:type="character" w:styleId="FootnoteReference">
    <w:name w:val="footnote reference"/>
    <w:uiPriority w:val="99"/>
    <w:rsid w:val="006C4AA3"/>
    <w:rPr>
      <w:vertAlign w:val="superscript"/>
    </w:rPr>
  </w:style>
  <w:style w:type="paragraph" w:customStyle="1" w:styleId="Policy">
    <w:name w:val="Policy"/>
    <w:basedOn w:val="Normal"/>
    <w:link w:val="PolicyChar"/>
    <w:qFormat/>
    <w:rsid w:val="00AE0BAE"/>
    <w:pPr>
      <w:tabs>
        <w:tab w:val="left" w:pos="720"/>
      </w:tabs>
      <w:spacing w:after="240" w:line="240" w:lineRule="auto"/>
      <w:ind w:left="720"/>
    </w:pPr>
    <w:rPr>
      <w:bCs/>
      <w:szCs w:val="24"/>
    </w:rPr>
  </w:style>
  <w:style w:type="paragraph" w:customStyle="1" w:styleId="Action">
    <w:name w:val="Action"/>
    <w:link w:val="ActionChar"/>
    <w:qFormat/>
    <w:rsid w:val="00AE0BAE"/>
    <w:pPr>
      <w:spacing w:after="200"/>
      <w:ind w:left="1166"/>
      <w:jc w:val="both"/>
    </w:pPr>
    <w:rPr>
      <w:bCs/>
      <w:i/>
      <w:sz w:val="22"/>
      <w:szCs w:val="24"/>
    </w:rPr>
  </w:style>
  <w:style w:type="paragraph" w:customStyle="1" w:styleId="TableHeading">
    <w:name w:val="Table Heading"/>
    <w:basedOn w:val="BodyText"/>
    <w:rsid w:val="00084924"/>
    <w:pPr>
      <w:spacing w:after="240" w:line="240" w:lineRule="auto"/>
      <w:jc w:val="center"/>
    </w:pPr>
    <w:rPr>
      <w:rFonts w:ascii="CG Omega" w:hAnsi="CG Omega" w:cs="Times New Roman"/>
      <w:b/>
      <w:smallCaps/>
      <w:sz w:val="20"/>
      <w:szCs w:val="24"/>
    </w:rPr>
  </w:style>
  <w:style w:type="character" w:customStyle="1" w:styleId="ColorfulList-Accent2Char">
    <w:name w:val="Colorful List - Accent 2 Char"/>
    <w:link w:val="ColorfulList-Accent21"/>
    <w:locked/>
    <w:rsid w:val="001034C2"/>
    <w:rPr>
      <w:sz w:val="22"/>
      <w:szCs w:val="22"/>
      <w:lang w:val="en-US" w:eastAsia="en-US" w:bidi="ar-SA"/>
    </w:rPr>
  </w:style>
  <w:style w:type="paragraph" w:customStyle="1" w:styleId="ImportWordListStyleDefinition1">
    <w:name w:val="Import Word List Style Definition 1"/>
    <w:rsid w:val="005C26B4"/>
    <w:pPr>
      <w:ind w:left="720" w:hanging="360"/>
    </w:pPr>
    <w:rPr>
      <w:rFonts w:ascii="Times New Roman" w:hAnsi="Times New Roman"/>
    </w:rPr>
  </w:style>
  <w:style w:type="character" w:styleId="FollowedHyperlink">
    <w:name w:val="FollowedHyperlink"/>
    <w:rsid w:val="007D6007"/>
    <w:rPr>
      <w:color w:val="800080"/>
      <w:u w:val="single"/>
    </w:rPr>
  </w:style>
  <w:style w:type="paragraph" w:customStyle="1" w:styleId="ColorfulList-Accent11">
    <w:name w:val="Colorful List - Accent 11"/>
    <w:basedOn w:val="Normal"/>
    <w:uiPriority w:val="34"/>
    <w:qFormat/>
    <w:rsid w:val="00F67B4C"/>
    <w:pPr>
      <w:ind w:left="1080" w:hanging="360"/>
      <w:contextualSpacing/>
    </w:pPr>
  </w:style>
  <w:style w:type="character" w:customStyle="1" w:styleId="PolicyChar">
    <w:name w:val="Policy Char"/>
    <w:link w:val="Policy"/>
    <w:rsid w:val="00C3697B"/>
    <w:rPr>
      <w:bCs/>
      <w:sz w:val="22"/>
      <w:szCs w:val="24"/>
    </w:rPr>
  </w:style>
  <w:style w:type="character" w:customStyle="1" w:styleId="ActionChar">
    <w:name w:val="Action Char"/>
    <w:link w:val="Action"/>
    <w:rsid w:val="00C3697B"/>
    <w:rPr>
      <w:bCs/>
      <w:i/>
      <w:sz w:val="22"/>
      <w:szCs w:val="24"/>
      <w:lang w:val="en-US" w:eastAsia="en-US" w:bidi="ar-SA"/>
    </w:rPr>
  </w:style>
  <w:style w:type="paragraph" w:customStyle="1" w:styleId="ActionDetail">
    <w:name w:val="Action Detail"/>
    <w:basedOn w:val="Action"/>
    <w:link w:val="ActionDetailChar"/>
    <w:qFormat/>
    <w:rsid w:val="000E4F09"/>
    <w:pPr>
      <w:numPr>
        <w:numId w:val="20"/>
      </w:numPr>
      <w:spacing w:line="264" w:lineRule="auto"/>
      <w:contextualSpacing/>
    </w:pPr>
  </w:style>
  <w:style w:type="character" w:customStyle="1" w:styleId="ActionDetailChar">
    <w:name w:val="Action Detail Char"/>
    <w:basedOn w:val="ActionChar"/>
    <w:link w:val="ActionDetail"/>
    <w:rsid w:val="000E4F09"/>
    <w:rPr>
      <w:bCs/>
      <w:i/>
      <w:sz w:val="22"/>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 w:qFormat="1"/>
    <w:lsdException w:name="heading 5" w:uiPriority="9" w:qFormat="1"/>
    <w:lsdException w:name="heading 6" w:uiPriority="99" w:qFormat="1"/>
    <w:lsdException w:name="heading 7" w:uiPriority="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qFormat="1"/>
    <w:lsdException w:name="Body Text Indent" w:uiPriority="99"/>
    <w:lsdException w:name="Subtitle" w:qFormat="1"/>
    <w:lsdException w:name="Body Text 2" w:uiPriority="99"/>
    <w:lsdException w:name="Hyperlink" w:uiPriority="99"/>
    <w:lsdException w:name="Strong" w:uiPriority="22" w:qFormat="1"/>
    <w:lsdException w:name="Emphasis" w:uiPriority="99"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3B3"/>
    <w:pPr>
      <w:spacing w:after="200" w:line="264" w:lineRule="auto"/>
      <w:jc w:val="both"/>
      <w:pPrChange w:id="1" w:author="Vicki Parker" w:date="2014-07-22T19:17:00Z">
        <w:pPr>
          <w:spacing w:after="200" w:line="264" w:lineRule="auto"/>
          <w:jc w:val="both"/>
        </w:pPr>
      </w:pPrChange>
    </w:pPr>
    <w:rPr>
      <w:sz w:val="22"/>
      <w:szCs w:val="22"/>
      <w:rPrChange w:id="1" w:author="Vicki Parker" w:date="2014-07-22T19:17:00Z">
        <w:rPr>
          <w:rFonts w:ascii="Calibri" w:hAnsi="Calibri"/>
          <w:sz w:val="22"/>
          <w:szCs w:val="22"/>
          <w:lang w:val="en-US" w:eastAsia="en-US" w:bidi="ar-SA"/>
        </w:rPr>
      </w:rPrChange>
    </w:rPr>
  </w:style>
  <w:style w:type="paragraph" w:styleId="Heading1">
    <w:name w:val="heading 1"/>
    <w:basedOn w:val="Normal"/>
    <w:next w:val="Normal"/>
    <w:link w:val="Heading1Char"/>
    <w:uiPriority w:val="99"/>
    <w:qFormat/>
    <w:rsid w:val="00136D27"/>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9"/>
    <w:qFormat/>
    <w:rsid w:val="00136D27"/>
    <w:pPr>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9"/>
    <w:qFormat/>
    <w:rsid w:val="00877B93"/>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877B93"/>
    <w:pPr>
      <w:keepNext/>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A76537"/>
    <w:pPr>
      <w:keepNext/>
      <w:outlineLvl w:val="4"/>
    </w:pPr>
    <w:rPr>
      <w:rFonts w:ascii="Cambria" w:hAnsi="Cambria"/>
      <w:smallCaps/>
      <w:sz w:val="20"/>
      <w:lang w:val="x-none" w:eastAsia="x-none"/>
    </w:rPr>
  </w:style>
  <w:style w:type="paragraph" w:styleId="Heading6">
    <w:name w:val="heading 6"/>
    <w:basedOn w:val="Normal"/>
    <w:next w:val="Normal"/>
    <w:link w:val="Heading6Char"/>
    <w:uiPriority w:val="99"/>
    <w:qFormat/>
    <w:rsid w:val="00136D27"/>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136D27"/>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9"/>
    <w:qFormat/>
    <w:rsid w:val="00136D27"/>
    <w:pPr>
      <w:spacing w:after="0"/>
      <w:jc w:val="left"/>
      <w:outlineLvl w:val="7"/>
    </w:pPr>
  </w:style>
  <w:style w:type="paragraph" w:styleId="Heading9">
    <w:name w:val="heading 9"/>
    <w:basedOn w:val="Normal"/>
    <w:next w:val="Normal"/>
    <w:link w:val="Heading9Char"/>
    <w:uiPriority w:val="99"/>
    <w:qFormat/>
    <w:rsid w:val="00136D27"/>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9"/>
    <w:rsid w:val="00477926"/>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9"/>
    <w:rsid w:val="00350F4A"/>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BF10C1"/>
    <w:rPr>
      <w:rFonts w:ascii="Cambria" w:eastAsia="Times New Roman" w:hAnsi="Cambria" w:cs="Times New Roman"/>
      <w:smallCaps/>
      <w:szCs w:val="22"/>
      <w:lang w:bidi="ar-SA"/>
    </w:rPr>
  </w:style>
  <w:style w:type="character" w:customStyle="1" w:styleId="Heading6Char">
    <w:name w:val="Heading 6 Char"/>
    <w:link w:val="Heading6"/>
    <w:uiPriority w:val="9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9"/>
    <w:rsid w:val="00477926"/>
    <w:rPr>
      <w:rFonts w:ascii="Cambria" w:eastAsia="Times New Roman" w:hAnsi="Cambria" w:cs="Times New Roman"/>
      <w:smallCaps/>
      <w:sz w:val="20"/>
      <w:szCs w:val="22"/>
      <w:lang w:bidi="ar-SA"/>
    </w:rPr>
  </w:style>
  <w:style w:type="character" w:customStyle="1" w:styleId="Heading9Char">
    <w:name w:val="Heading 9 Char"/>
    <w:link w:val="Heading9"/>
    <w:uiPriority w:val="9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nhideWhenUsed/>
    <w:rsid w:val="00136D27"/>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136D27"/>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99"/>
    <w:qFormat/>
    <w:rsid w:val="00136D27"/>
    <w:pPr>
      <w:spacing w:after="160"/>
      <w:ind w:left="2160"/>
    </w:pPr>
    <w:rPr>
      <w:i/>
      <w:iCs/>
      <w:color w:val="0F243E"/>
      <w:szCs w:val="20"/>
      <w:lang w:bidi="en-US"/>
    </w:rPr>
  </w:style>
  <w:style w:type="character" w:styleId="Emphasis">
    <w:name w:val="Emphasis"/>
    <w:uiPriority w:val="99"/>
    <w:qFormat/>
    <w:rsid w:val="00136D27"/>
    <w:rPr>
      <w:i/>
      <w:iCs/>
    </w:rPr>
  </w:style>
  <w:style w:type="paragraph" w:styleId="Footer">
    <w:name w:val="footer"/>
    <w:basedOn w:val="Normal"/>
    <w:link w:val="FooterChar"/>
    <w:uiPriority w:val="99"/>
    <w:unhideWhenUsed/>
    <w:rsid w:val="00136D27"/>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136D27"/>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136D27"/>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136D27"/>
    <w:rPr>
      <w:rFonts w:ascii="Cambria" w:eastAsia="Times New Roman" w:hAnsi="Cambria" w:cs="Times New Roman"/>
      <w:smallCaps/>
      <w:spacing w:val="5"/>
      <w:sz w:val="36"/>
      <w:szCs w:val="36"/>
      <w:lang w:bidi="ar-SA"/>
    </w:rPr>
  </w:style>
  <w:style w:type="paragraph" w:customStyle="1" w:styleId="Header-EvenPage">
    <w:name w:val="Header - Even Page"/>
    <w:basedOn w:val="Header"/>
    <w:uiPriority w:val="99"/>
    <w:qFormat/>
    <w:rsid w:val="00136D27"/>
    <w:rPr>
      <w:sz w:val="32"/>
    </w:rPr>
  </w:style>
  <w:style w:type="character" w:styleId="Hyperlink">
    <w:name w:val="Hyperlink"/>
    <w:uiPriority w:val="99"/>
    <w:unhideWhenUsed/>
    <w:rsid w:val="00136D27"/>
    <w:rPr>
      <w:color w:val="0000FF"/>
      <w:u w:val="single"/>
    </w:rPr>
  </w:style>
  <w:style w:type="character" w:customStyle="1" w:styleId="Impact-MMChar">
    <w:name w:val="Impact-MM Char"/>
    <w:uiPriority w:val="99"/>
    <w:rsid w:val="00136D27"/>
    <w:rPr>
      <w:rFonts w:ascii="Century Gothic" w:hAnsi="Century Gothic"/>
      <w:bCs/>
      <w:szCs w:val="24"/>
      <w:lang w:val="en-US" w:eastAsia="en-US" w:bidi="ar-SA"/>
    </w:rPr>
  </w:style>
  <w:style w:type="paragraph" w:styleId="ListBullet">
    <w:name w:val="List Bullet"/>
    <w:basedOn w:val="Normal"/>
    <w:uiPriority w:val="99"/>
    <w:unhideWhenUsed/>
    <w:qFormat/>
    <w:rsid w:val="00136D27"/>
    <w:pPr>
      <w:numPr>
        <w:numId w:val="1"/>
      </w:numPr>
      <w:contextualSpacing/>
    </w:pPr>
  </w:style>
  <w:style w:type="paragraph" w:styleId="ListBullet2">
    <w:name w:val="List Bullet 2"/>
    <w:basedOn w:val="Normal"/>
    <w:uiPriority w:val="99"/>
    <w:unhideWhenUsed/>
    <w:qFormat/>
    <w:rsid w:val="00136D27"/>
    <w:pPr>
      <w:numPr>
        <w:numId w:val="2"/>
      </w:numPr>
      <w:contextualSpacing/>
    </w:pPr>
  </w:style>
  <w:style w:type="paragraph" w:styleId="ListBullet3">
    <w:name w:val="List Bullet 3"/>
    <w:basedOn w:val="Normal"/>
    <w:uiPriority w:val="99"/>
    <w:unhideWhenUsed/>
    <w:qFormat/>
    <w:rsid w:val="00136D27"/>
    <w:pPr>
      <w:tabs>
        <w:tab w:val="num" w:pos="1080"/>
      </w:tabs>
      <w:ind w:left="1080" w:hanging="360"/>
      <w:contextualSpacing/>
    </w:pPr>
  </w:style>
  <w:style w:type="paragraph" w:styleId="ListNumber">
    <w:name w:val="List Number"/>
    <w:basedOn w:val="Normal"/>
    <w:uiPriority w:val="99"/>
    <w:unhideWhenUsed/>
    <w:rsid w:val="00136D27"/>
    <w:pPr>
      <w:tabs>
        <w:tab w:val="num" w:pos="360"/>
      </w:tabs>
      <w:ind w:left="360" w:hanging="360"/>
      <w:contextualSpacing/>
    </w:pPr>
  </w:style>
  <w:style w:type="paragraph" w:styleId="ListNumber2">
    <w:name w:val="List Number 2"/>
    <w:basedOn w:val="Normal"/>
    <w:uiPriority w:val="99"/>
    <w:unhideWhenUsed/>
    <w:rsid w:val="00136D27"/>
    <w:pPr>
      <w:tabs>
        <w:tab w:val="num" w:pos="720"/>
      </w:tabs>
      <w:ind w:left="720" w:hanging="360"/>
      <w:contextualSpacing/>
    </w:pPr>
  </w:style>
  <w:style w:type="paragraph" w:styleId="ListNumber3">
    <w:name w:val="List Number 3"/>
    <w:basedOn w:val="Normal"/>
    <w:uiPriority w:val="99"/>
    <w:unhideWhenUsed/>
    <w:rsid w:val="00136D27"/>
    <w:pPr>
      <w:tabs>
        <w:tab w:val="num" w:pos="1080"/>
      </w:tabs>
      <w:ind w:left="1080" w:hanging="360"/>
      <w:contextualSpacing/>
    </w:pPr>
  </w:style>
  <w:style w:type="paragraph" w:customStyle="1" w:styleId="MediumList2-Accent41">
    <w:name w:val="Medium List 2 - Accent 41"/>
    <w:basedOn w:val="Normal"/>
    <w:uiPriority w:val="34"/>
    <w:qFormat/>
    <w:rsid w:val="00136D27"/>
    <w:pPr>
      <w:ind w:left="1080" w:hanging="360"/>
      <w:contextualSpacing/>
    </w:pPr>
  </w:style>
  <w:style w:type="paragraph" w:customStyle="1" w:styleId="ColorfulList-Accent21">
    <w:name w:val="Colorful List - Accent 21"/>
    <w:link w:val="ColorfulList-Accent2Char"/>
    <w:qFormat/>
    <w:rsid w:val="00136D27"/>
    <w:pPr>
      <w:jc w:val="both"/>
    </w:pPr>
    <w:rPr>
      <w:sz w:val="22"/>
      <w:szCs w:val="22"/>
    </w:rPr>
  </w:style>
  <w:style w:type="paragraph" w:styleId="NormalWeb">
    <w:name w:val="Normal (Web)"/>
    <w:basedOn w:val="Normal"/>
    <w:uiPriority w:val="99"/>
    <w:unhideWhenUsed/>
    <w:rsid w:val="00136D27"/>
    <w:pPr>
      <w:spacing w:before="168" w:after="216" w:line="240" w:lineRule="auto"/>
      <w:jc w:val="left"/>
    </w:pPr>
    <w:rPr>
      <w:rFonts w:ascii="Times New Roman" w:hAnsi="Times New Roman"/>
      <w:sz w:val="24"/>
      <w:szCs w:val="24"/>
    </w:rPr>
  </w:style>
  <w:style w:type="paragraph" w:customStyle="1" w:styleId="MediumGrid1-Accent41">
    <w:name w:val="Medium Grid 1 - Accent 41"/>
    <w:basedOn w:val="Normal"/>
    <w:next w:val="Normal"/>
    <w:link w:val="MediumGrid1-Accent4Char"/>
    <w:uiPriority w:val="99"/>
    <w:qFormat/>
    <w:rsid w:val="00136D27"/>
    <w:rPr>
      <w:i/>
      <w:lang w:val="x-none" w:eastAsia="x-none"/>
    </w:rPr>
  </w:style>
  <w:style w:type="character" w:customStyle="1" w:styleId="MediumGrid1-Accent4Char">
    <w:name w:val="Medium Grid 1 - Accent 4 Char"/>
    <w:link w:val="MediumGrid1-Accent41"/>
    <w:uiPriority w:val="99"/>
    <w:rsid w:val="00136D27"/>
    <w:rPr>
      <w:rFonts w:ascii="Calibri" w:eastAsia="Times New Roman" w:hAnsi="Calibri" w:cs="Times New Roman"/>
      <w:i/>
      <w:sz w:val="22"/>
      <w:szCs w:val="22"/>
      <w:lang w:bidi="ar-SA"/>
    </w:rPr>
  </w:style>
  <w:style w:type="paragraph" w:customStyle="1" w:styleId="Source">
    <w:name w:val="Source"/>
    <w:next w:val="Normal"/>
    <w:qFormat/>
    <w:rsid w:val="00136D27"/>
    <w:pPr>
      <w:spacing w:after="160" w:line="288" w:lineRule="auto"/>
      <w:ind w:left="90"/>
      <w:jc w:val="both"/>
    </w:pPr>
    <w:rPr>
      <w:i/>
      <w:iCs/>
      <w:smallCaps/>
      <w:lang w:bidi="en-US"/>
    </w:rPr>
  </w:style>
  <w:style w:type="character" w:customStyle="1" w:styleId="SubtleEmphasis1">
    <w:name w:val="Subtle Emphasis1"/>
    <w:uiPriority w:val="99"/>
    <w:qFormat/>
    <w:rsid w:val="00136D27"/>
    <w:rPr>
      <w:i/>
      <w:iCs/>
      <w:color w:val="808080"/>
    </w:rPr>
  </w:style>
  <w:style w:type="character" w:customStyle="1" w:styleId="SubtleEmphasis10">
    <w:name w:val="Subtle Emphasis1"/>
    <w:uiPriority w:val="99"/>
    <w:qFormat/>
    <w:rsid w:val="00136D27"/>
    <w:rPr>
      <w:smallCaps/>
      <w:dstrike w:val="0"/>
      <w:color w:val="5A5A5A"/>
      <w:vertAlign w:val="baseline"/>
    </w:rPr>
  </w:style>
  <w:style w:type="table" w:styleId="TableGrid">
    <w:name w:val="Table Grid"/>
    <w:basedOn w:val="TableNormal"/>
    <w:uiPriority w:val="99"/>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99"/>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575714"/>
    <w:pPr>
      <w:shd w:val="clear" w:color="auto" w:fill="D9D9D9"/>
      <w:jc w:val="center"/>
    </w:pPr>
    <w:rPr>
      <w:i/>
    </w:rPr>
  </w:style>
  <w:style w:type="paragraph" w:customStyle="1" w:styleId="TableText">
    <w:name w:val="Table Text"/>
    <w:basedOn w:val="Normal"/>
    <w:rsid w:val="00136D27"/>
    <w:pPr>
      <w:spacing w:before="120" w:after="120" w:line="240" w:lineRule="auto"/>
    </w:pPr>
    <w:rPr>
      <w:rFonts w:ascii="Cambria" w:hAnsi="Cambria"/>
      <w:sz w:val="18"/>
      <w:szCs w:val="18"/>
    </w:rPr>
  </w:style>
  <w:style w:type="paragraph" w:customStyle="1" w:styleId="TextBox">
    <w:name w:val="Text Box"/>
    <w:basedOn w:val="Normal"/>
    <w:uiPriority w:val="99"/>
    <w:rsid w:val="00136D27"/>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99"/>
    <w:unhideWhenUsed/>
    <w:qFormat/>
    <w:rsid w:val="00136D27"/>
    <w:pPr>
      <w:outlineLvl w:val="9"/>
    </w:pPr>
  </w:style>
  <w:style w:type="paragraph" w:customStyle="1" w:styleId="TOCHeading10">
    <w:name w:val="TOC Heading1"/>
    <w:basedOn w:val="Heading1"/>
    <w:next w:val="Normal"/>
    <w:uiPriority w:val="99"/>
    <w:unhideWhenUsed/>
    <w:qFormat/>
    <w:rsid w:val="00136D27"/>
  </w:style>
  <w:style w:type="paragraph" w:customStyle="1" w:styleId="MediumList1-Accent41">
    <w:name w:val="Medium List 1 - Accent 41"/>
    <w:hidden/>
    <w:rsid w:val="00BF1663"/>
    <w:rPr>
      <w:sz w:val="22"/>
      <w:szCs w:val="22"/>
    </w:rPr>
  </w:style>
  <w:style w:type="character" w:styleId="Strong">
    <w:name w:val="Strong"/>
    <w:uiPriority w:val="22"/>
    <w:qFormat/>
    <w:rsid w:val="00E4338C"/>
    <w:rPr>
      <w:b/>
      <w:bCs/>
    </w:rPr>
  </w:style>
  <w:style w:type="character" w:styleId="CommentReference">
    <w:name w:val="annotation reference"/>
    <w:uiPriority w:val="99"/>
    <w:rsid w:val="0068669B"/>
    <w:rPr>
      <w:sz w:val="16"/>
      <w:szCs w:val="16"/>
    </w:rPr>
  </w:style>
  <w:style w:type="paragraph" w:styleId="CommentText">
    <w:name w:val="annotation text"/>
    <w:basedOn w:val="Normal"/>
    <w:link w:val="CommentTextChar"/>
    <w:uiPriority w:val="99"/>
    <w:rsid w:val="0068669B"/>
    <w:pPr>
      <w:spacing w:line="240" w:lineRule="auto"/>
    </w:pPr>
    <w:rPr>
      <w:sz w:val="20"/>
      <w:szCs w:val="20"/>
      <w:lang w:val="x-none" w:eastAsia="x-none"/>
    </w:rPr>
  </w:style>
  <w:style w:type="character" w:customStyle="1" w:styleId="CommentTextChar">
    <w:name w:val="Comment Text Char"/>
    <w:link w:val="CommentText"/>
    <w:uiPriority w:val="99"/>
    <w:rsid w:val="0068669B"/>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rsid w:val="0068669B"/>
    <w:rPr>
      <w:b/>
      <w:bCs/>
    </w:rPr>
  </w:style>
  <w:style w:type="character" w:customStyle="1" w:styleId="CommentSubjectChar">
    <w:name w:val="Comment Subject Char"/>
    <w:link w:val="CommentSubject"/>
    <w:rsid w:val="0068669B"/>
    <w:rPr>
      <w:rFonts w:ascii="Calibri" w:eastAsia="Times New Roman" w:hAnsi="Calibri" w:cs="Times New Roman"/>
      <w:b/>
      <w:bCs/>
      <w:sz w:val="20"/>
      <w:szCs w:val="20"/>
      <w:lang w:bidi="ar-SA"/>
    </w:rPr>
  </w:style>
  <w:style w:type="paragraph" w:customStyle="1" w:styleId="Figure">
    <w:name w:val="Figure"/>
    <w:basedOn w:val="Normal"/>
    <w:link w:val="FigureChar"/>
    <w:qFormat/>
    <w:rsid w:val="00D216DE"/>
    <w:pPr>
      <w:keepNext/>
      <w:spacing w:after="260" w:line="240" w:lineRule="auto"/>
      <w:jc w:val="left"/>
    </w:pPr>
    <w:rPr>
      <w:rFonts w:ascii="Arial" w:hAnsi="Arial" w:cs="Arial"/>
      <w:b/>
      <w:bCs/>
      <w:szCs w:val="26"/>
      <w:lang w:val="x-none" w:eastAsia="x-none"/>
    </w:rPr>
  </w:style>
  <w:style w:type="character" w:customStyle="1" w:styleId="FigureChar">
    <w:name w:val="Figure Char"/>
    <w:link w:val="Figure"/>
    <w:rsid w:val="00D216DE"/>
    <w:rPr>
      <w:rFonts w:ascii="Arial" w:eastAsia="Times New Roman" w:hAnsi="Arial" w:cs="Arial"/>
      <w:b/>
      <w:bCs/>
      <w:sz w:val="22"/>
      <w:szCs w:val="26"/>
      <w:lang w:bidi="ar-SA"/>
    </w:rPr>
  </w:style>
  <w:style w:type="paragraph" w:customStyle="1" w:styleId="Level1">
    <w:name w:val="Level 1"/>
    <w:basedOn w:val="Normal"/>
    <w:rsid w:val="00AA0345"/>
    <w:pPr>
      <w:widowControl w:val="0"/>
      <w:spacing w:after="0" w:line="240" w:lineRule="auto"/>
      <w:jc w:val="left"/>
    </w:pPr>
    <w:rPr>
      <w:sz w:val="24"/>
      <w:szCs w:val="24"/>
    </w:rPr>
  </w:style>
  <w:style w:type="paragraph" w:customStyle="1" w:styleId="rtp-heading9">
    <w:name w:val="rtp-heading9"/>
    <w:basedOn w:val="Normal"/>
    <w:uiPriority w:val="99"/>
    <w:rsid w:val="00AA0345"/>
    <w:pPr>
      <w:widowControl w:val="0"/>
      <w:spacing w:after="0" w:line="240" w:lineRule="auto"/>
      <w:jc w:val="left"/>
    </w:pPr>
    <w:rPr>
      <w:rFonts w:ascii="Swis721 BlkEx BT" w:hAnsi="Swis721 BlkEx BT" w:cs="Swis721 BlkEx BT"/>
      <w:i/>
      <w:iCs/>
      <w:sz w:val="28"/>
      <w:szCs w:val="28"/>
    </w:rPr>
  </w:style>
  <w:style w:type="paragraph" w:customStyle="1" w:styleId="P-9">
    <w:name w:val="P-9"/>
    <w:basedOn w:val="Normal"/>
    <w:uiPriority w:val="99"/>
    <w:rsid w:val="00AA0345"/>
    <w:pPr>
      <w:widowControl w:val="0"/>
      <w:spacing w:after="0" w:line="240" w:lineRule="auto"/>
      <w:jc w:val="left"/>
    </w:pPr>
    <w:rPr>
      <w:sz w:val="24"/>
      <w:szCs w:val="24"/>
    </w:rPr>
  </w:style>
  <w:style w:type="paragraph" w:customStyle="1" w:styleId="I-9">
    <w:name w:val="I-9"/>
    <w:basedOn w:val="Normal"/>
    <w:uiPriority w:val="99"/>
    <w:rsid w:val="00AA0345"/>
    <w:pPr>
      <w:widowControl w:val="0"/>
      <w:spacing w:after="0" w:line="240" w:lineRule="auto"/>
      <w:jc w:val="left"/>
    </w:pPr>
    <w:rPr>
      <w:sz w:val="24"/>
      <w:szCs w:val="24"/>
    </w:rPr>
  </w:style>
  <w:style w:type="paragraph" w:customStyle="1" w:styleId="ABC-7">
    <w:name w:val="ABC-7"/>
    <w:basedOn w:val="Normal"/>
    <w:uiPriority w:val="99"/>
    <w:rsid w:val="00AA0345"/>
    <w:pPr>
      <w:widowControl w:val="0"/>
      <w:spacing w:after="0" w:line="240" w:lineRule="auto"/>
      <w:jc w:val="left"/>
    </w:pPr>
    <w:rPr>
      <w:sz w:val="24"/>
      <w:szCs w:val="24"/>
    </w:rPr>
  </w:style>
  <w:style w:type="paragraph" w:customStyle="1" w:styleId="P-7">
    <w:name w:val="P-7"/>
    <w:basedOn w:val="Normal"/>
    <w:uiPriority w:val="99"/>
    <w:rsid w:val="00AA0345"/>
    <w:pPr>
      <w:widowControl w:val="0"/>
      <w:spacing w:after="0" w:line="240" w:lineRule="auto"/>
      <w:jc w:val="left"/>
    </w:pPr>
    <w:rPr>
      <w:sz w:val="24"/>
      <w:szCs w:val="24"/>
    </w:rPr>
  </w:style>
  <w:style w:type="paragraph" w:customStyle="1" w:styleId="font5">
    <w:name w:val="font5"/>
    <w:basedOn w:val="Normal"/>
    <w:uiPriority w:val="99"/>
    <w:rsid w:val="00AA0345"/>
    <w:pPr>
      <w:spacing w:before="100" w:beforeAutospacing="1" w:after="100" w:afterAutospacing="1" w:line="240" w:lineRule="auto"/>
      <w:jc w:val="left"/>
    </w:pPr>
    <w:rPr>
      <w:rFonts w:ascii="Arial" w:hAnsi="Arial" w:cs="Arial"/>
      <w:b/>
      <w:bCs/>
      <w:sz w:val="16"/>
      <w:szCs w:val="16"/>
    </w:rPr>
  </w:style>
  <w:style w:type="paragraph" w:customStyle="1" w:styleId="ABC-6">
    <w:name w:val="ABC-6"/>
    <w:basedOn w:val="Normal"/>
    <w:uiPriority w:val="99"/>
    <w:rsid w:val="00AA0345"/>
    <w:pPr>
      <w:widowControl w:val="0"/>
      <w:spacing w:after="0" w:line="240" w:lineRule="auto"/>
      <w:jc w:val="left"/>
    </w:pPr>
    <w:rPr>
      <w:sz w:val="24"/>
      <w:szCs w:val="24"/>
    </w:rPr>
  </w:style>
  <w:style w:type="paragraph" w:customStyle="1" w:styleId="O-6">
    <w:name w:val="O-6"/>
    <w:basedOn w:val="Normal"/>
    <w:uiPriority w:val="99"/>
    <w:rsid w:val="00AA0345"/>
    <w:pPr>
      <w:widowControl w:val="0"/>
      <w:spacing w:after="0" w:line="240" w:lineRule="auto"/>
      <w:jc w:val="left"/>
    </w:pPr>
    <w:rPr>
      <w:sz w:val="24"/>
      <w:szCs w:val="24"/>
    </w:rPr>
  </w:style>
  <w:style w:type="paragraph" w:styleId="BodyTextIndent">
    <w:name w:val="Body Text Indent"/>
    <w:basedOn w:val="Normal"/>
    <w:link w:val="BodyTextIndentChar"/>
    <w:uiPriority w:val="99"/>
    <w:rsid w:val="00AA0345"/>
    <w:pPr>
      <w:spacing w:after="0" w:line="240" w:lineRule="auto"/>
      <w:ind w:left="720" w:hanging="720"/>
    </w:pPr>
    <w:rPr>
      <w:rFonts w:ascii="Arial" w:hAnsi="Arial" w:cs="Arial"/>
      <w:sz w:val="20"/>
      <w:szCs w:val="20"/>
      <w:lang w:val="x-none" w:eastAsia="x-none"/>
    </w:rPr>
  </w:style>
  <w:style w:type="character" w:customStyle="1" w:styleId="BodyTextIndentChar">
    <w:name w:val="Body Text Indent Char"/>
    <w:link w:val="BodyTextIndent"/>
    <w:uiPriority w:val="99"/>
    <w:rsid w:val="00AA0345"/>
    <w:rPr>
      <w:rFonts w:ascii="Arial" w:eastAsia="Times New Roman" w:hAnsi="Arial" w:cs="Arial"/>
      <w:lang w:bidi="ar-SA"/>
    </w:rPr>
  </w:style>
  <w:style w:type="paragraph" w:customStyle="1" w:styleId="ABC-8">
    <w:name w:val="ABC-8"/>
    <w:basedOn w:val="Normal"/>
    <w:uiPriority w:val="99"/>
    <w:rsid w:val="00AA0345"/>
    <w:pPr>
      <w:widowControl w:val="0"/>
      <w:spacing w:after="0" w:line="240" w:lineRule="auto"/>
      <w:jc w:val="left"/>
    </w:pPr>
    <w:rPr>
      <w:sz w:val="24"/>
      <w:szCs w:val="24"/>
    </w:rPr>
  </w:style>
  <w:style w:type="character" w:styleId="PageNumber">
    <w:name w:val="page number"/>
    <w:basedOn w:val="DefaultParagraphFont"/>
    <w:rsid w:val="00AA0345"/>
  </w:style>
  <w:style w:type="paragraph" w:customStyle="1" w:styleId="O-10">
    <w:name w:val="O-10"/>
    <w:basedOn w:val="Normal"/>
    <w:uiPriority w:val="99"/>
    <w:rsid w:val="00AA0345"/>
    <w:pPr>
      <w:widowControl w:val="0"/>
      <w:spacing w:after="0" w:line="240" w:lineRule="auto"/>
      <w:jc w:val="left"/>
    </w:pPr>
    <w:rPr>
      <w:sz w:val="24"/>
      <w:szCs w:val="24"/>
    </w:rPr>
  </w:style>
  <w:style w:type="paragraph" w:customStyle="1" w:styleId="P-10">
    <w:name w:val="P-10"/>
    <w:basedOn w:val="Normal"/>
    <w:uiPriority w:val="99"/>
    <w:rsid w:val="00AA0345"/>
    <w:pPr>
      <w:widowControl w:val="0"/>
      <w:spacing w:after="0" w:line="240" w:lineRule="auto"/>
      <w:jc w:val="left"/>
    </w:pPr>
    <w:rPr>
      <w:sz w:val="24"/>
      <w:szCs w:val="24"/>
    </w:rPr>
  </w:style>
  <w:style w:type="paragraph" w:customStyle="1" w:styleId="O-11">
    <w:name w:val="O-11"/>
    <w:basedOn w:val="Normal"/>
    <w:uiPriority w:val="99"/>
    <w:rsid w:val="00AA0345"/>
    <w:pPr>
      <w:widowControl w:val="0"/>
      <w:spacing w:after="0" w:line="240" w:lineRule="auto"/>
      <w:jc w:val="left"/>
    </w:pPr>
    <w:rPr>
      <w:sz w:val="24"/>
      <w:szCs w:val="24"/>
    </w:rPr>
  </w:style>
  <w:style w:type="paragraph" w:customStyle="1" w:styleId="P-11">
    <w:name w:val="P-11"/>
    <w:basedOn w:val="Normal"/>
    <w:uiPriority w:val="99"/>
    <w:rsid w:val="00AA0345"/>
    <w:pPr>
      <w:widowControl w:val="0"/>
      <w:spacing w:after="0" w:line="240" w:lineRule="auto"/>
      <w:jc w:val="left"/>
    </w:pPr>
    <w:rPr>
      <w:sz w:val="24"/>
      <w:szCs w:val="24"/>
    </w:rPr>
  </w:style>
  <w:style w:type="paragraph" w:customStyle="1" w:styleId="O-12">
    <w:name w:val="O-12"/>
    <w:basedOn w:val="Normal"/>
    <w:uiPriority w:val="99"/>
    <w:rsid w:val="00AA0345"/>
    <w:pPr>
      <w:widowControl w:val="0"/>
      <w:spacing w:after="0" w:line="240" w:lineRule="auto"/>
      <w:jc w:val="left"/>
    </w:pPr>
    <w:rPr>
      <w:sz w:val="24"/>
      <w:szCs w:val="24"/>
    </w:rPr>
  </w:style>
  <w:style w:type="paragraph" w:customStyle="1" w:styleId="P-12">
    <w:name w:val="P-12"/>
    <w:basedOn w:val="Normal"/>
    <w:uiPriority w:val="99"/>
    <w:rsid w:val="00AA0345"/>
    <w:pPr>
      <w:widowControl w:val="0"/>
      <w:spacing w:after="0" w:line="240" w:lineRule="auto"/>
      <w:jc w:val="left"/>
    </w:pPr>
    <w:rPr>
      <w:sz w:val="24"/>
      <w:szCs w:val="24"/>
    </w:rPr>
  </w:style>
  <w:style w:type="paragraph" w:styleId="BodyText2">
    <w:name w:val="Body Text 2"/>
    <w:basedOn w:val="Normal"/>
    <w:link w:val="BodyText2Char"/>
    <w:uiPriority w:val="99"/>
    <w:rsid w:val="00AA0345"/>
    <w:pPr>
      <w:spacing w:after="120" w:line="480" w:lineRule="auto"/>
    </w:pPr>
    <w:rPr>
      <w:rFonts w:cs="Calibri"/>
      <w:lang w:val="x-none" w:eastAsia="x-none"/>
    </w:rPr>
  </w:style>
  <w:style w:type="character" w:customStyle="1" w:styleId="BodyText2Char">
    <w:name w:val="Body Text 2 Char"/>
    <w:link w:val="BodyText2"/>
    <w:uiPriority w:val="99"/>
    <w:rsid w:val="00AA0345"/>
    <w:rPr>
      <w:rFonts w:ascii="Calibri" w:eastAsia="Times New Roman" w:hAnsi="Calibri" w:cs="Calibri"/>
      <w:sz w:val="22"/>
      <w:szCs w:val="22"/>
      <w:lang w:bidi="ar-SA"/>
    </w:rPr>
  </w:style>
  <w:style w:type="paragraph" w:styleId="BodyText">
    <w:name w:val="Body Text"/>
    <w:basedOn w:val="Normal"/>
    <w:link w:val="BodyTextChar"/>
    <w:unhideWhenUsed/>
    <w:rsid w:val="00AA0345"/>
    <w:pPr>
      <w:spacing w:after="120"/>
    </w:pPr>
    <w:rPr>
      <w:rFonts w:cs="Calibri"/>
      <w:lang w:val="x-none" w:eastAsia="x-none"/>
    </w:rPr>
  </w:style>
  <w:style w:type="character" w:customStyle="1" w:styleId="BodyTextChar">
    <w:name w:val="Body Text Char"/>
    <w:link w:val="BodyText"/>
    <w:rsid w:val="00AA0345"/>
    <w:rPr>
      <w:rFonts w:ascii="Calibri" w:eastAsia="Times New Roman" w:hAnsi="Calibri" w:cs="Calibri"/>
      <w:sz w:val="22"/>
      <w:szCs w:val="22"/>
      <w:lang w:bidi="ar-SA"/>
    </w:rPr>
  </w:style>
  <w:style w:type="paragraph" w:customStyle="1" w:styleId="xl24">
    <w:name w:val="xl24"/>
    <w:basedOn w:val="Normal"/>
    <w:rsid w:val="00AA0345"/>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PSourceandNote">
    <w:name w:val="F&amp;P Source and Note"/>
    <w:basedOn w:val="Normal"/>
    <w:rsid w:val="00F64905"/>
    <w:pPr>
      <w:autoSpaceDE w:val="0"/>
      <w:autoSpaceDN w:val="0"/>
      <w:adjustRightInd w:val="0"/>
      <w:spacing w:before="60" w:after="60"/>
      <w:ind w:left="360" w:right="72" w:hanging="288"/>
    </w:pPr>
    <w:rPr>
      <w:rFonts w:ascii="Arial" w:hAnsi="Arial" w:cs="Arial"/>
      <w:color w:val="000000"/>
      <w:sz w:val="16"/>
      <w:szCs w:val="20"/>
    </w:rPr>
  </w:style>
  <w:style w:type="character" w:customStyle="1" w:styleId="style11">
    <w:name w:val="style11"/>
    <w:rsid w:val="00A542EC"/>
    <w:rPr>
      <w:rFonts w:ascii="Arial" w:hAnsi="Arial" w:cs="Arial" w:hint="default"/>
      <w:color w:val="FF9900"/>
      <w:u w:val="single"/>
    </w:rPr>
  </w:style>
  <w:style w:type="character" w:customStyle="1" w:styleId="style21">
    <w:name w:val="style21"/>
    <w:rsid w:val="00A542EC"/>
    <w:rPr>
      <w:rFonts w:ascii="Arial" w:hAnsi="Arial" w:cs="Arial" w:hint="default"/>
      <w:color w:val="FF9900"/>
      <w:sz w:val="20"/>
      <w:szCs w:val="20"/>
      <w:u w:val="single"/>
    </w:rPr>
  </w:style>
  <w:style w:type="paragraph" w:styleId="FootnoteText">
    <w:name w:val="footnote text"/>
    <w:basedOn w:val="Normal"/>
    <w:link w:val="FootnoteTextChar"/>
    <w:uiPriority w:val="99"/>
    <w:rsid w:val="00F71D0B"/>
    <w:pPr>
      <w:spacing w:after="0" w:line="240" w:lineRule="auto"/>
      <w:jc w:val="left"/>
    </w:pPr>
    <w:rPr>
      <w:rFonts w:ascii="Times New Roman" w:hAnsi="Times New Roman"/>
      <w:sz w:val="20"/>
      <w:szCs w:val="20"/>
      <w:lang w:val="x-none" w:eastAsia="x-none"/>
    </w:rPr>
  </w:style>
  <w:style w:type="character" w:customStyle="1" w:styleId="FootnoteTextChar">
    <w:name w:val="Footnote Text Char"/>
    <w:link w:val="FootnoteText"/>
    <w:uiPriority w:val="99"/>
    <w:rsid w:val="00F71D0B"/>
    <w:rPr>
      <w:rFonts w:ascii="Times New Roman" w:hAnsi="Times New Roman"/>
    </w:rPr>
  </w:style>
  <w:style w:type="character" w:styleId="FootnoteReference">
    <w:name w:val="footnote reference"/>
    <w:uiPriority w:val="99"/>
    <w:rsid w:val="006C4AA3"/>
    <w:rPr>
      <w:vertAlign w:val="superscript"/>
    </w:rPr>
  </w:style>
  <w:style w:type="paragraph" w:customStyle="1" w:styleId="Policy">
    <w:name w:val="Policy"/>
    <w:basedOn w:val="Normal"/>
    <w:link w:val="PolicyChar"/>
    <w:qFormat/>
    <w:rsid w:val="00AE0BAE"/>
    <w:pPr>
      <w:tabs>
        <w:tab w:val="left" w:pos="720"/>
      </w:tabs>
      <w:spacing w:after="240" w:line="240" w:lineRule="auto"/>
      <w:ind w:left="720"/>
    </w:pPr>
    <w:rPr>
      <w:bCs/>
      <w:szCs w:val="24"/>
    </w:rPr>
  </w:style>
  <w:style w:type="paragraph" w:customStyle="1" w:styleId="Action">
    <w:name w:val="Action"/>
    <w:link w:val="ActionChar"/>
    <w:qFormat/>
    <w:rsid w:val="00AE0BAE"/>
    <w:pPr>
      <w:spacing w:after="200"/>
      <w:ind w:left="1166"/>
      <w:jc w:val="both"/>
    </w:pPr>
    <w:rPr>
      <w:bCs/>
      <w:i/>
      <w:sz w:val="22"/>
      <w:szCs w:val="24"/>
    </w:rPr>
  </w:style>
  <w:style w:type="paragraph" w:customStyle="1" w:styleId="TableHeading">
    <w:name w:val="Table Heading"/>
    <w:basedOn w:val="BodyText"/>
    <w:rsid w:val="00084924"/>
    <w:pPr>
      <w:spacing w:after="240" w:line="240" w:lineRule="auto"/>
      <w:jc w:val="center"/>
    </w:pPr>
    <w:rPr>
      <w:rFonts w:ascii="CG Omega" w:hAnsi="CG Omega" w:cs="Times New Roman"/>
      <w:b/>
      <w:smallCaps/>
      <w:sz w:val="20"/>
      <w:szCs w:val="24"/>
    </w:rPr>
  </w:style>
  <w:style w:type="character" w:customStyle="1" w:styleId="ColorfulList-Accent2Char">
    <w:name w:val="Colorful List - Accent 2 Char"/>
    <w:link w:val="ColorfulList-Accent21"/>
    <w:locked/>
    <w:rsid w:val="001034C2"/>
    <w:rPr>
      <w:sz w:val="22"/>
      <w:szCs w:val="22"/>
      <w:lang w:val="en-US" w:eastAsia="en-US" w:bidi="ar-SA"/>
    </w:rPr>
  </w:style>
  <w:style w:type="paragraph" w:customStyle="1" w:styleId="ImportWordListStyleDefinition1">
    <w:name w:val="Import Word List Style Definition 1"/>
    <w:rsid w:val="005C26B4"/>
    <w:pPr>
      <w:ind w:left="720" w:hanging="360"/>
    </w:pPr>
    <w:rPr>
      <w:rFonts w:ascii="Times New Roman" w:hAnsi="Times New Roman"/>
    </w:rPr>
  </w:style>
  <w:style w:type="character" w:styleId="FollowedHyperlink">
    <w:name w:val="FollowedHyperlink"/>
    <w:rsid w:val="007D6007"/>
    <w:rPr>
      <w:color w:val="800080"/>
      <w:u w:val="single"/>
    </w:rPr>
  </w:style>
  <w:style w:type="paragraph" w:customStyle="1" w:styleId="ColorfulList-Accent11">
    <w:name w:val="Colorful List - Accent 11"/>
    <w:basedOn w:val="Normal"/>
    <w:uiPriority w:val="34"/>
    <w:qFormat/>
    <w:rsid w:val="00F67B4C"/>
    <w:pPr>
      <w:ind w:left="1080" w:hanging="360"/>
      <w:contextualSpacing/>
    </w:pPr>
  </w:style>
  <w:style w:type="character" w:customStyle="1" w:styleId="PolicyChar">
    <w:name w:val="Policy Char"/>
    <w:link w:val="Policy"/>
    <w:rsid w:val="00C3697B"/>
    <w:rPr>
      <w:bCs/>
      <w:sz w:val="22"/>
      <w:szCs w:val="24"/>
    </w:rPr>
  </w:style>
  <w:style w:type="character" w:customStyle="1" w:styleId="ActionChar">
    <w:name w:val="Action Char"/>
    <w:link w:val="Action"/>
    <w:rsid w:val="00C3697B"/>
    <w:rPr>
      <w:bCs/>
      <w:i/>
      <w:sz w:val="22"/>
      <w:szCs w:val="24"/>
      <w:lang w:val="en-US" w:eastAsia="en-US" w:bidi="ar-SA"/>
    </w:rPr>
  </w:style>
  <w:style w:type="paragraph" w:customStyle="1" w:styleId="ActionDetail">
    <w:name w:val="Action Detail"/>
    <w:basedOn w:val="Action"/>
    <w:link w:val="ActionDetailChar"/>
    <w:qFormat/>
    <w:rsid w:val="000E4F09"/>
    <w:pPr>
      <w:numPr>
        <w:numId w:val="20"/>
      </w:numPr>
      <w:spacing w:line="264" w:lineRule="auto"/>
      <w:contextualSpacing/>
    </w:pPr>
  </w:style>
  <w:style w:type="character" w:customStyle="1" w:styleId="ActionDetailChar">
    <w:name w:val="Action Detail Char"/>
    <w:basedOn w:val="ActionChar"/>
    <w:link w:val="ActionDetail"/>
    <w:rsid w:val="000E4F09"/>
    <w:rPr>
      <w:bCs/>
      <w:i/>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6289">
      <w:bodyDiv w:val="1"/>
      <w:marLeft w:val="0"/>
      <w:marRight w:val="0"/>
      <w:marTop w:val="0"/>
      <w:marBottom w:val="0"/>
      <w:divBdr>
        <w:top w:val="none" w:sz="0" w:space="0" w:color="auto"/>
        <w:left w:val="none" w:sz="0" w:space="0" w:color="auto"/>
        <w:bottom w:val="none" w:sz="0" w:space="0" w:color="auto"/>
        <w:right w:val="none" w:sz="0" w:space="0" w:color="auto"/>
      </w:divBdr>
      <w:divsChild>
        <w:div w:id="1867521833">
          <w:marLeft w:val="0"/>
          <w:marRight w:val="0"/>
          <w:marTop w:val="0"/>
          <w:marBottom w:val="0"/>
          <w:divBdr>
            <w:top w:val="none" w:sz="0" w:space="0" w:color="auto"/>
            <w:left w:val="none" w:sz="0" w:space="0" w:color="auto"/>
            <w:bottom w:val="none" w:sz="0" w:space="0" w:color="auto"/>
            <w:right w:val="none" w:sz="0" w:space="0" w:color="auto"/>
          </w:divBdr>
          <w:divsChild>
            <w:div w:id="1621716028">
              <w:marLeft w:val="2985"/>
              <w:marRight w:val="2985"/>
              <w:marTop w:val="0"/>
              <w:marBottom w:val="0"/>
              <w:divBdr>
                <w:top w:val="none" w:sz="0" w:space="0" w:color="auto"/>
                <w:left w:val="none" w:sz="0" w:space="0" w:color="auto"/>
                <w:bottom w:val="none" w:sz="0" w:space="0" w:color="auto"/>
                <w:right w:val="none" w:sz="0" w:space="0" w:color="auto"/>
              </w:divBdr>
              <w:divsChild>
                <w:div w:id="730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3722">
      <w:bodyDiv w:val="1"/>
      <w:marLeft w:val="0"/>
      <w:marRight w:val="0"/>
      <w:marTop w:val="0"/>
      <w:marBottom w:val="0"/>
      <w:divBdr>
        <w:top w:val="none" w:sz="0" w:space="0" w:color="auto"/>
        <w:left w:val="none" w:sz="0" w:space="0" w:color="auto"/>
        <w:bottom w:val="none" w:sz="0" w:space="0" w:color="auto"/>
        <w:right w:val="none" w:sz="0" w:space="0" w:color="auto"/>
      </w:divBdr>
      <w:divsChild>
        <w:div w:id="1365446247">
          <w:marLeft w:val="0"/>
          <w:marRight w:val="0"/>
          <w:marTop w:val="0"/>
          <w:marBottom w:val="0"/>
          <w:divBdr>
            <w:top w:val="none" w:sz="0" w:space="0" w:color="auto"/>
            <w:left w:val="none" w:sz="0" w:space="0" w:color="auto"/>
            <w:bottom w:val="none" w:sz="0" w:space="0" w:color="auto"/>
            <w:right w:val="none" w:sz="0" w:space="0" w:color="auto"/>
          </w:divBdr>
          <w:divsChild>
            <w:div w:id="422800871">
              <w:marLeft w:val="0"/>
              <w:marRight w:val="0"/>
              <w:marTop w:val="0"/>
              <w:marBottom w:val="0"/>
              <w:divBdr>
                <w:top w:val="none" w:sz="0" w:space="0" w:color="auto"/>
                <w:left w:val="none" w:sz="0" w:space="0" w:color="auto"/>
                <w:bottom w:val="none" w:sz="0" w:space="0" w:color="auto"/>
                <w:right w:val="none" w:sz="0" w:space="0" w:color="auto"/>
              </w:divBdr>
              <w:divsChild>
                <w:div w:id="994988815">
                  <w:marLeft w:val="0"/>
                  <w:marRight w:val="0"/>
                  <w:marTop w:val="0"/>
                  <w:marBottom w:val="0"/>
                  <w:divBdr>
                    <w:top w:val="none" w:sz="0" w:space="0" w:color="auto"/>
                    <w:left w:val="none" w:sz="0" w:space="0" w:color="auto"/>
                    <w:bottom w:val="none" w:sz="0" w:space="0" w:color="auto"/>
                    <w:right w:val="none" w:sz="0" w:space="0" w:color="auto"/>
                  </w:divBdr>
                  <w:divsChild>
                    <w:div w:id="1548956624">
                      <w:marLeft w:val="0"/>
                      <w:marRight w:val="0"/>
                      <w:marTop w:val="0"/>
                      <w:marBottom w:val="0"/>
                      <w:divBdr>
                        <w:top w:val="none" w:sz="0" w:space="0" w:color="auto"/>
                        <w:left w:val="none" w:sz="0" w:space="0" w:color="auto"/>
                        <w:bottom w:val="none" w:sz="0" w:space="0" w:color="auto"/>
                        <w:right w:val="none" w:sz="0" w:space="0" w:color="auto"/>
                      </w:divBdr>
                      <w:divsChild>
                        <w:div w:id="1693410443">
                          <w:marLeft w:val="0"/>
                          <w:marRight w:val="0"/>
                          <w:marTop w:val="0"/>
                          <w:marBottom w:val="0"/>
                          <w:divBdr>
                            <w:top w:val="none" w:sz="0" w:space="0" w:color="auto"/>
                            <w:left w:val="none" w:sz="0" w:space="0" w:color="auto"/>
                            <w:bottom w:val="none" w:sz="0" w:space="0" w:color="auto"/>
                            <w:right w:val="none" w:sz="0" w:space="0" w:color="auto"/>
                          </w:divBdr>
                          <w:divsChild>
                            <w:div w:id="856038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273604">
      <w:bodyDiv w:val="1"/>
      <w:marLeft w:val="0"/>
      <w:marRight w:val="0"/>
      <w:marTop w:val="0"/>
      <w:marBottom w:val="0"/>
      <w:divBdr>
        <w:top w:val="none" w:sz="0" w:space="0" w:color="auto"/>
        <w:left w:val="none" w:sz="0" w:space="0" w:color="auto"/>
        <w:bottom w:val="none" w:sz="0" w:space="0" w:color="auto"/>
        <w:right w:val="none" w:sz="0" w:space="0" w:color="auto"/>
      </w:divBdr>
      <w:divsChild>
        <w:div w:id="2119135147">
          <w:marLeft w:val="0"/>
          <w:marRight w:val="0"/>
          <w:marTop w:val="0"/>
          <w:marBottom w:val="0"/>
          <w:divBdr>
            <w:top w:val="none" w:sz="0" w:space="0" w:color="auto"/>
            <w:left w:val="none" w:sz="0" w:space="0" w:color="auto"/>
            <w:bottom w:val="none" w:sz="0" w:space="0" w:color="auto"/>
            <w:right w:val="none" w:sz="0" w:space="0" w:color="auto"/>
          </w:divBdr>
          <w:divsChild>
            <w:div w:id="2101177001">
              <w:marLeft w:val="2985"/>
              <w:marRight w:val="0"/>
              <w:marTop w:val="0"/>
              <w:marBottom w:val="0"/>
              <w:divBdr>
                <w:top w:val="none" w:sz="0" w:space="0" w:color="auto"/>
                <w:left w:val="none" w:sz="0" w:space="0" w:color="auto"/>
                <w:bottom w:val="none" w:sz="0" w:space="0" w:color="auto"/>
                <w:right w:val="none" w:sz="0" w:space="0" w:color="auto"/>
              </w:divBdr>
              <w:divsChild>
                <w:div w:id="40391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39339">
      <w:bodyDiv w:val="1"/>
      <w:marLeft w:val="0"/>
      <w:marRight w:val="0"/>
      <w:marTop w:val="0"/>
      <w:marBottom w:val="0"/>
      <w:divBdr>
        <w:top w:val="none" w:sz="0" w:space="0" w:color="auto"/>
        <w:left w:val="none" w:sz="0" w:space="0" w:color="auto"/>
        <w:bottom w:val="none" w:sz="0" w:space="0" w:color="auto"/>
        <w:right w:val="none" w:sz="0" w:space="0" w:color="auto"/>
      </w:divBdr>
    </w:div>
    <w:div w:id="339089477">
      <w:bodyDiv w:val="1"/>
      <w:marLeft w:val="0"/>
      <w:marRight w:val="0"/>
      <w:marTop w:val="0"/>
      <w:marBottom w:val="0"/>
      <w:divBdr>
        <w:top w:val="none" w:sz="0" w:space="0" w:color="auto"/>
        <w:left w:val="none" w:sz="0" w:space="0" w:color="auto"/>
        <w:bottom w:val="none" w:sz="0" w:space="0" w:color="auto"/>
        <w:right w:val="none" w:sz="0" w:space="0" w:color="auto"/>
      </w:divBdr>
    </w:div>
    <w:div w:id="411047813">
      <w:bodyDiv w:val="1"/>
      <w:marLeft w:val="0"/>
      <w:marRight w:val="0"/>
      <w:marTop w:val="0"/>
      <w:marBottom w:val="0"/>
      <w:divBdr>
        <w:top w:val="none" w:sz="0" w:space="0" w:color="auto"/>
        <w:left w:val="none" w:sz="0" w:space="0" w:color="auto"/>
        <w:bottom w:val="none" w:sz="0" w:space="0" w:color="auto"/>
        <w:right w:val="none" w:sz="0" w:space="0" w:color="auto"/>
      </w:divBdr>
    </w:div>
    <w:div w:id="523902825">
      <w:bodyDiv w:val="1"/>
      <w:marLeft w:val="0"/>
      <w:marRight w:val="0"/>
      <w:marTop w:val="0"/>
      <w:marBottom w:val="0"/>
      <w:divBdr>
        <w:top w:val="none" w:sz="0" w:space="0" w:color="auto"/>
        <w:left w:val="none" w:sz="0" w:space="0" w:color="auto"/>
        <w:bottom w:val="none" w:sz="0" w:space="0" w:color="auto"/>
        <w:right w:val="none" w:sz="0" w:space="0" w:color="auto"/>
      </w:divBdr>
    </w:div>
    <w:div w:id="543491131">
      <w:bodyDiv w:val="1"/>
      <w:marLeft w:val="0"/>
      <w:marRight w:val="0"/>
      <w:marTop w:val="0"/>
      <w:marBottom w:val="0"/>
      <w:divBdr>
        <w:top w:val="none" w:sz="0" w:space="0" w:color="auto"/>
        <w:left w:val="none" w:sz="0" w:space="0" w:color="auto"/>
        <w:bottom w:val="none" w:sz="0" w:space="0" w:color="auto"/>
        <w:right w:val="none" w:sz="0" w:space="0" w:color="auto"/>
      </w:divBdr>
    </w:div>
    <w:div w:id="576592012">
      <w:bodyDiv w:val="1"/>
      <w:marLeft w:val="0"/>
      <w:marRight w:val="5"/>
      <w:marTop w:val="0"/>
      <w:marBottom w:val="600"/>
      <w:divBdr>
        <w:top w:val="none" w:sz="0" w:space="0" w:color="auto"/>
        <w:left w:val="none" w:sz="0" w:space="0" w:color="auto"/>
        <w:bottom w:val="none" w:sz="0" w:space="0" w:color="auto"/>
        <w:right w:val="none" w:sz="0" w:space="0" w:color="auto"/>
      </w:divBdr>
      <w:divsChild>
        <w:div w:id="507915258">
          <w:marLeft w:val="2265"/>
          <w:marRight w:val="0"/>
          <w:marTop w:val="450"/>
          <w:marBottom w:val="300"/>
          <w:divBdr>
            <w:top w:val="none" w:sz="0" w:space="0" w:color="auto"/>
            <w:left w:val="none" w:sz="0" w:space="0" w:color="auto"/>
            <w:bottom w:val="none" w:sz="0" w:space="0" w:color="auto"/>
            <w:right w:val="none" w:sz="0" w:space="0" w:color="auto"/>
          </w:divBdr>
        </w:div>
      </w:divsChild>
    </w:div>
    <w:div w:id="579145846">
      <w:bodyDiv w:val="1"/>
      <w:marLeft w:val="0"/>
      <w:marRight w:val="0"/>
      <w:marTop w:val="0"/>
      <w:marBottom w:val="0"/>
      <w:divBdr>
        <w:top w:val="none" w:sz="0" w:space="0" w:color="auto"/>
        <w:left w:val="none" w:sz="0" w:space="0" w:color="auto"/>
        <w:bottom w:val="none" w:sz="0" w:space="0" w:color="auto"/>
        <w:right w:val="none" w:sz="0" w:space="0" w:color="auto"/>
      </w:divBdr>
    </w:div>
    <w:div w:id="618802487">
      <w:bodyDiv w:val="1"/>
      <w:marLeft w:val="0"/>
      <w:marRight w:val="0"/>
      <w:marTop w:val="0"/>
      <w:marBottom w:val="0"/>
      <w:divBdr>
        <w:top w:val="none" w:sz="0" w:space="0" w:color="auto"/>
        <w:left w:val="none" w:sz="0" w:space="0" w:color="auto"/>
        <w:bottom w:val="none" w:sz="0" w:space="0" w:color="auto"/>
        <w:right w:val="none" w:sz="0" w:space="0" w:color="auto"/>
      </w:divBdr>
    </w:div>
    <w:div w:id="909999860">
      <w:bodyDiv w:val="1"/>
      <w:marLeft w:val="0"/>
      <w:marRight w:val="0"/>
      <w:marTop w:val="0"/>
      <w:marBottom w:val="0"/>
      <w:divBdr>
        <w:top w:val="none" w:sz="0" w:space="0" w:color="auto"/>
        <w:left w:val="none" w:sz="0" w:space="0" w:color="auto"/>
        <w:bottom w:val="none" w:sz="0" w:space="0" w:color="auto"/>
        <w:right w:val="none" w:sz="0" w:space="0" w:color="auto"/>
      </w:divBdr>
    </w:div>
    <w:div w:id="917597437">
      <w:bodyDiv w:val="1"/>
      <w:marLeft w:val="0"/>
      <w:marRight w:val="0"/>
      <w:marTop w:val="0"/>
      <w:marBottom w:val="0"/>
      <w:divBdr>
        <w:top w:val="none" w:sz="0" w:space="0" w:color="auto"/>
        <w:left w:val="none" w:sz="0" w:space="0" w:color="auto"/>
        <w:bottom w:val="none" w:sz="0" w:space="0" w:color="auto"/>
        <w:right w:val="none" w:sz="0" w:space="0" w:color="auto"/>
      </w:divBdr>
    </w:div>
    <w:div w:id="978343622">
      <w:bodyDiv w:val="1"/>
      <w:marLeft w:val="0"/>
      <w:marRight w:val="0"/>
      <w:marTop w:val="0"/>
      <w:marBottom w:val="0"/>
      <w:divBdr>
        <w:top w:val="none" w:sz="0" w:space="0" w:color="auto"/>
        <w:left w:val="none" w:sz="0" w:space="0" w:color="auto"/>
        <w:bottom w:val="none" w:sz="0" w:space="0" w:color="auto"/>
        <w:right w:val="none" w:sz="0" w:space="0" w:color="auto"/>
      </w:divBdr>
    </w:div>
    <w:div w:id="1087649598">
      <w:bodyDiv w:val="1"/>
      <w:marLeft w:val="0"/>
      <w:marRight w:val="0"/>
      <w:marTop w:val="0"/>
      <w:marBottom w:val="0"/>
      <w:divBdr>
        <w:top w:val="none" w:sz="0" w:space="0" w:color="auto"/>
        <w:left w:val="none" w:sz="0" w:space="0" w:color="auto"/>
        <w:bottom w:val="none" w:sz="0" w:space="0" w:color="auto"/>
        <w:right w:val="none" w:sz="0" w:space="0" w:color="auto"/>
      </w:divBdr>
    </w:div>
    <w:div w:id="1517382957">
      <w:bodyDiv w:val="1"/>
      <w:marLeft w:val="0"/>
      <w:marRight w:val="0"/>
      <w:marTop w:val="0"/>
      <w:marBottom w:val="0"/>
      <w:divBdr>
        <w:top w:val="none" w:sz="0" w:space="0" w:color="auto"/>
        <w:left w:val="none" w:sz="0" w:space="0" w:color="auto"/>
        <w:bottom w:val="none" w:sz="0" w:space="0" w:color="auto"/>
        <w:right w:val="none" w:sz="0" w:space="0" w:color="auto"/>
      </w:divBdr>
    </w:div>
    <w:div w:id="1606034857">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704477928">
      <w:bodyDiv w:val="1"/>
      <w:marLeft w:val="0"/>
      <w:marRight w:val="0"/>
      <w:marTop w:val="0"/>
      <w:marBottom w:val="0"/>
      <w:divBdr>
        <w:top w:val="none" w:sz="0" w:space="0" w:color="auto"/>
        <w:left w:val="none" w:sz="0" w:space="0" w:color="auto"/>
        <w:bottom w:val="none" w:sz="0" w:space="0" w:color="auto"/>
        <w:right w:val="none" w:sz="0" w:space="0" w:color="auto"/>
      </w:divBdr>
    </w:div>
    <w:div w:id="1724329914">
      <w:bodyDiv w:val="1"/>
      <w:marLeft w:val="0"/>
      <w:marRight w:val="0"/>
      <w:marTop w:val="0"/>
      <w:marBottom w:val="0"/>
      <w:divBdr>
        <w:top w:val="none" w:sz="0" w:space="0" w:color="auto"/>
        <w:left w:val="none" w:sz="0" w:space="0" w:color="auto"/>
        <w:bottom w:val="none" w:sz="0" w:space="0" w:color="auto"/>
        <w:right w:val="none" w:sz="0" w:space="0" w:color="auto"/>
      </w:divBdr>
    </w:div>
    <w:div w:id="1841194243">
      <w:bodyDiv w:val="1"/>
      <w:marLeft w:val="0"/>
      <w:marRight w:val="0"/>
      <w:marTop w:val="0"/>
      <w:marBottom w:val="0"/>
      <w:divBdr>
        <w:top w:val="none" w:sz="0" w:space="0" w:color="auto"/>
        <w:left w:val="none" w:sz="0" w:space="0" w:color="auto"/>
        <w:bottom w:val="none" w:sz="0" w:space="0" w:color="auto"/>
        <w:right w:val="none" w:sz="0" w:space="0" w:color="auto"/>
      </w:divBdr>
    </w:div>
    <w:div w:id="1854876100">
      <w:bodyDiv w:val="1"/>
      <w:marLeft w:val="0"/>
      <w:marRight w:val="0"/>
      <w:marTop w:val="0"/>
      <w:marBottom w:val="0"/>
      <w:divBdr>
        <w:top w:val="none" w:sz="0" w:space="0" w:color="auto"/>
        <w:left w:val="none" w:sz="0" w:space="0" w:color="auto"/>
        <w:bottom w:val="none" w:sz="0" w:space="0" w:color="auto"/>
        <w:right w:val="none" w:sz="0" w:space="0" w:color="auto"/>
      </w:divBdr>
      <w:divsChild>
        <w:div w:id="1494226211">
          <w:marLeft w:val="525"/>
          <w:marRight w:val="300"/>
          <w:marTop w:val="600"/>
          <w:marBottom w:val="0"/>
          <w:divBdr>
            <w:top w:val="none" w:sz="0" w:space="0" w:color="auto"/>
            <w:left w:val="none" w:sz="0" w:space="0" w:color="auto"/>
            <w:bottom w:val="none" w:sz="0" w:space="0" w:color="auto"/>
            <w:right w:val="none" w:sz="0" w:space="0" w:color="auto"/>
          </w:divBdr>
        </w:div>
      </w:divsChild>
    </w:div>
    <w:div w:id="1866362647">
      <w:bodyDiv w:val="1"/>
      <w:marLeft w:val="0"/>
      <w:marRight w:val="0"/>
      <w:marTop w:val="0"/>
      <w:marBottom w:val="0"/>
      <w:divBdr>
        <w:top w:val="none" w:sz="0" w:space="0" w:color="auto"/>
        <w:left w:val="none" w:sz="0" w:space="0" w:color="auto"/>
        <w:bottom w:val="none" w:sz="0" w:space="0" w:color="auto"/>
        <w:right w:val="none" w:sz="0" w:space="0" w:color="auto"/>
      </w:divBdr>
    </w:div>
    <w:div w:id="1874070016">
      <w:bodyDiv w:val="1"/>
      <w:marLeft w:val="0"/>
      <w:marRight w:val="0"/>
      <w:marTop w:val="0"/>
      <w:marBottom w:val="0"/>
      <w:divBdr>
        <w:top w:val="none" w:sz="0" w:space="0" w:color="auto"/>
        <w:left w:val="none" w:sz="0" w:space="0" w:color="auto"/>
        <w:bottom w:val="none" w:sz="0" w:space="0" w:color="auto"/>
        <w:right w:val="none" w:sz="0" w:space="0" w:color="auto"/>
      </w:divBdr>
    </w:div>
    <w:div w:id="1874145977">
      <w:bodyDiv w:val="1"/>
      <w:marLeft w:val="0"/>
      <w:marRight w:val="0"/>
      <w:marTop w:val="0"/>
      <w:marBottom w:val="0"/>
      <w:divBdr>
        <w:top w:val="none" w:sz="0" w:space="0" w:color="auto"/>
        <w:left w:val="none" w:sz="0" w:space="0" w:color="auto"/>
        <w:bottom w:val="none" w:sz="0" w:space="0" w:color="auto"/>
        <w:right w:val="none" w:sz="0" w:space="0" w:color="auto"/>
      </w:divBdr>
    </w:div>
    <w:div w:id="1881359197">
      <w:bodyDiv w:val="1"/>
      <w:marLeft w:val="0"/>
      <w:marRight w:val="0"/>
      <w:marTop w:val="0"/>
      <w:marBottom w:val="0"/>
      <w:divBdr>
        <w:top w:val="none" w:sz="0" w:space="0" w:color="auto"/>
        <w:left w:val="none" w:sz="0" w:space="0" w:color="auto"/>
        <w:bottom w:val="none" w:sz="0" w:space="0" w:color="auto"/>
        <w:right w:val="none" w:sz="0" w:space="0" w:color="auto"/>
      </w:divBdr>
    </w:div>
    <w:div w:id="1903371897">
      <w:bodyDiv w:val="1"/>
      <w:marLeft w:val="0"/>
      <w:marRight w:val="0"/>
      <w:marTop w:val="0"/>
      <w:marBottom w:val="0"/>
      <w:divBdr>
        <w:top w:val="none" w:sz="0" w:space="0" w:color="auto"/>
        <w:left w:val="none" w:sz="0" w:space="0" w:color="auto"/>
        <w:bottom w:val="none" w:sz="0" w:space="0" w:color="auto"/>
        <w:right w:val="none" w:sz="0" w:space="0" w:color="auto"/>
      </w:divBdr>
    </w:div>
    <w:div w:id="1903977887">
      <w:bodyDiv w:val="1"/>
      <w:marLeft w:val="0"/>
      <w:marRight w:val="0"/>
      <w:marTop w:val="0"/>
      <w:marBottom w:val="0"/>
      <w:divBdr>
        <w:top w:val="none" w:sz="0" w:space="0" w:color="auto"/>
        <w:left w:val="none" w:sz="0" w:space="0" w:color="auto"/>
        <w:bottom w:val="none" w:sz="0" w:space="0" w:color="auto"/>
        <w:right w:val="none" w:sz="0" w:space="0" w:color="auto"/>
      </w:divBdr>
    </w:div>
    <w:div w:id="1949895871">
      <w:bodyDiv w:val="1"/>
      <w:marLeft w:val="0"/>
      <w:marRight w:val="0"/>
      <w:marTop w:val="0"/>
      <w:marBottom w:val="0"/>
      <w:divBdr>
        <w:top w:val="none" w:sz="0" w:space="0" w:color="auto"/>
        <w:left w:val="none" w:sz="0" w:space="0" w:color="auto"/>
        <w:bottom w:val="none" w:sz="0" w:space="0" w:color="auto"/>
        <w:right w:val="none" w:sz="0" w:space="0" w:color="auto"/>
      </w:divBdr>
    </w:div>
    <w:div w:id="2011397951">
      <w:bodyDiv w:val="1"/>
      <w:marLeft w:val="0"/>
      <w:marRight w:val="0"/>
      <w:marTop w:val="0"/>
      <w:marBottom w:val="0"/>
      <w:divBdr>
        <w:top w:val="none" w:sz="0" w:space="0" w:color="auto"/>
        <w:left w:val="none" w:sz="0" w:space="0" w:color="auto"/>
        <w:bottom w:val="none" w:sz="0" w:space="0" w:color="auto"/>
        <w:right w:val="none" w:sz="0" w:space="0" w:color="auto"/>
      </w:divBdr>
    </w:div>
    <w:div w:id="214388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ca.gov/ab1007/documents/ab_1007_bill_20050929_chaptered.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olpla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olpla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sc.ca.gov/CALGreen/default.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rb.ca.gov/cc/inventory/data/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0</TotalTime>
  <Pages>22</Pages>
  <Words>11605</Words>
  <Characters>66151</Characters>
  <Application>Microsoft Office Word</Application>
  <DocSecurity>4</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Pacific Portraits by Amber</Company>
  <LinksUpToDate>false</LinksUpToDate>
  <CharactersWithSpaces>77601</CharactersWithSpaces>
  <SharedDoc>false</SharedDoc>
  <HLinks>
    <vt:vector size="36" baseType="variant">
      <vt:variant>
        <vt:i4>4522073</vt:i4>
      </vt:variant>
      <vt:variant>
        <vt:i4>12</vt:i4>
      </vt:variant>
      <vt:variant>
        <vt:i4>0</vt:i4>
      </vt:variant>
      <vt:variant>
        <vt:i4>5</vt:i4>
      </vt:variant>
      <vt:variant>
        <vt:lpwstr>http://www.coolplan.org/</vt:lpwstr>
      </vt:variant>
      <vt:variant>
        <vt:lpwstr/>
      </vt:variant>
      <vt:variant>
        <vt:i4>4522073</vt:i4>
      </vt:variant>
      <vt:variant>
        <vt:i4>9</vt:i4>
      </vt:variant>
      <vt:variant>
        <vt:i4>0</vt:i4>
      </vt:variant>
      <vt:variant>
        <vt:i4>5</vt:i4>
      </vt:variant>
      <vt:variant>
        <vt:lpwstr>http://www.coolplan.org/</vt:lpwstr>
      </vt:variant>
      <vt:variant>
        <vt:lpwstr/>
      </vt:variant>
      <vt:variant>
        <vt:i4>2883704</vt:i4>
      </vt:variant>
      <vt:variant>
        <vt:i4>6</vt:i4>
      </vt:variant>
      <vt:variant>
        <vt:i4>0</vt:i4>
      </vt:variant>
      <vt:variant>
        <vt:i4>5</vt:i4>
      </vt:variant>
      <vt:variant>
        <vt:lpwstr>http://www.bsc.ca.gov/CALGreen/default.htm</vt:lpwstr>
      </vt:variant>
      <vt:variant>
        <vt:lpwstr/>
      </vt:variant>
      <vt:variant>
        <vt:i4>4522073</vt:i4>
      </vt:variant>
      <vt:variant>
        <vt:i4>3</vt:i4>
      </vt:variant>
      <vt:variant>
        <vt:i4>0</vt:i4>
      </vt:variant>
      <vt:variant>
        <vt:i4>5</vt:i4>
      </vt:variant>
      <vt:variant>
        <vt:lpwstr>http://www.coolplan.org/</vt:lpwstr>
      </vt:variant>
      <vt:variant>
        <vt:lpwstr/>
      </vt:variant>
      <vt:variant>
        <vt:i4>5046359</vt:i4>
      </vt:variant>
      <vt:variant>
        <vt:i4>0</vt:i4>
      </vt:variant>
      <vt:variant>
        <vt:i4>0</vt:i4>
      </vt:variant>
      <vt:variant>
        <vt:i4>5</vt:i4>
      </vt:variant>
      <vt:variant>
        <vt:lpwstr>http://www.energy.ca.gov/ab1007/documents/ab_1007_bill_20050929_chaptered.pdf</vt:lpwstr>
      </vt:variant>
      <vt:variant>
        <vt:lpwstr/>
      </vt:variant>
      <vt:variant>
        <vt:i4>1769560</vt:i4>
      </vt:variant>
      <vt:variant>
        <vt:i4>0</vt:i4>
      </vt:variant>
      <vt:variant>
        <vt:i4>0</vt:i4>
      </vt:variant>
      <vt:variant>
        <vt:i4>5</vt:i4>
      </vt:variant>
      <vt:variant>
        <vt:lpwstr>http://www.arb.ca.gov/cc/inventory/data/data.htm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Amber McMurtry</dc:creator>
  <cp:lastModifiedBy>Vicki Parker</cp:lastModifiedBy>
  <cp:revision>2</cp:revision>
  <cp:lastPrinted>2010-04-19T18:24:00Z</cp:lastPrinted>
  <dcterms:created xsi:type="dcterms:W3CDTF">2015-08-07T22:14:00Z</dcterms:created>
  <dcterms:modified xsi:type="dcterms:W3CDTF">2015-08-07T22:14:00Z</dcterms:modified>
</cp:coreProperties>
</file>