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31" w:rsidRPr="003D23E3" w:rsidRDefault="006C4831" w:rsidP="006C4831">
      <w:pPr>
        <w:rPr>
          <w:highlight w:val="yellow"/>
        </w:rPr>
      </w:pPr>
      <w:bookmarkStart w:id="2" w:name="_GoBack"/>
      <w:bookmarkEnd w:id="2"/>
      <w:r w:rsidRPr="00E95E25">
        <w:t xml:space="preserve">This section provides a background discussion of the regional hydrology, flooding, water quality, water purveyors, and water sources in Cotati. This section is organized with an existing setting, regulatory setting, and impact analysis. </w:t>
      </w:r>
    </w:p>
    <w:p w:rsidR="006C4831" w:rsidRPr="00E95E25" w:rsidRDefault="006C4831" w:rsidP="006C4831">
      <w:pPr>
        <w:pStyle w:val="Heading4"/>
      </w:pPr>
      <w:r w:rsidRPr="00E95E25">
        <w:t>Key Terms</w:t>
      </w:r>
    </w:p>
    <w:p w:rsidR="006C4831" w:rsidRPr="00E95E25" w:rsidRDefault="006C4831" w:rsidP="006C4831">
      <w:r w:rsidRPr="00E95E25">
        <w:rPr>
          <w:b/>
        </w:rPr>
        <w:t>Acre feet:</w:t>
      </w:r>
      <w:r w:rsidRPr="00E95E25">
        <w:t xml:space="preserve"> The volume of one acre of water to a depth of one foot. Each acre-foot of water is equal to approximately 325,851.4 gallons.</w:t>
      </w:r>
    </w:p>
    <w:p w:rsidR="006C4831" w:rsidRPr="00E95E25" w:rsidRDefault="006C4831" w:rsidP="006C4831">
      <w:r w:rsidRPr="00E95E25">
        <w:rPr>
          <w:b/>
        </w:rPr>
        <w:t>BGS:</w:t>
      </w:r>
      <w:r w:rsidRPr="00E95E25">
        <w:t xml:space="preserve"> Below ground surface.</w:t>
      </w:r>
    </w:p>
    <w:p w:rsidR="006C4831" w:rsidRPr="00E95E25" w:rsidRDefault="006C4831" w:rsidP="006C4831">
      <w:r w:rsidRPr="00E95E25">
        <w:rPr>
          <w:b/>
        </w:rPr>
        <w:t>GPD:</w:t>
      </w:r>
      <w:r w:rsidRPr="00E95E25">
        <w:t xml:space="preserve"> Gallons per day.</w:t>
      </w:r>
    </w:p>
    <w:p w:rsidR="006C4831" w:rsidRPr="00E95E25" w:rsidRDefault="006C4831" w:rsidP="006C4831">
      <w:r w:rsidRPr="00E95E25">
        <w:rPr>
          <w:b/>
        </w:rPr>
        <w:t>GPM:</w:t>
      </w:r>
      <w:r w:rsidRPr="00E95E25">
        <w:t xml:space="preserve"> Gallons per minute.</w:t>
      </w:r>
    </w:p>
    <w:p w:rsidR="006C4831" w:rsidRPr="00E95E25" w:rsidRDefault="006C4831" w:rsidP="006C4831">
      <w:r w:rsidRPr="00E95E25">
        <w:rPr>
          <w:b/>
        </w:rPr>
        <w:t>Groundwater:</w:t>
      </w:r>
      <w:r w:rsidRPr="00E95E25">
        <w:t xml:space="preserve"> Water that is underground and below the water table, as opposed to surface water, which flows across the ground surface. Water beneath the earth’s surface fills the spaces in soil, gravel, or rock formations. Pockets of groundwater are often called “aquifers” and are the source of drinking water for a large percentage of the population in the United States. Groundwater is often extracted using wells which pump the water out of the ground and up to the surface. Groundwater is naturally replenished by surface water from precipitation, streams, and rivers when this recharge reaches the water table. </w:t>
      </w:r>
    </w:p>
    <w:p w:rsidR="006C4831" w:rsidRPr="00E95E25" w:rsidRDefault="006C4831" w:rsidP="006C4831">
      <w:r w:rsidRPr="00E95E25">
        <w:rPr>
          <w:b/>
        </w:rPr>
        <w:t>MG:</w:t>
      </w:r>
      <w:r w:rsidRPr="00E95E25">
        <w:t xml:space="preserve"> Million gallons</w:t>
      </w:r>
    </w:p>
    <w:p w:rsidR="006C4831" w:rsidRPr="00E95E25" w:rsidRDefault="006C4831" w:rsidP="006C4831">
      <w:r w:rsidRPr="00E95E25">
        <w:rPr>
          <w:b/>
        </w:rPr>
        <w:t>MGD:</w:t>
      </w:r>
      <w:r w:rsidRPr="00E95E25">
        <w:t xml:space="preserve"> Million gallons per day</w:t>
      </w:r>
    </w:p>
    <w:p w:rsidR="006C4831" w:rsidRPr="00E95E25" w:rsidRDefault="006C4831" w:rsidP="006C4831">
      <w:pPr>
        <w:rPr>
          <w:bCs/>
        </w:rPr>
      </w:pPr>
      <w:r w:rsidRPr="00E95E25">
        <w:rPr>
          <w:b/>
        </w:rPr>
        <w:t>Surface water:</w:t>
      </w:r>
      <w:r w:rsidRPr="00E95E25">
        <w:t xml:space="preserve"> </w:t>
      </w:r>
      <w:r w:rsidRPr="00E95E25">
        <w:rPr>
          <w:bCs/>
        </w:rPr>
        <w:t xml:space="preserve">Water collected on the ground or from a stream, river, lake, wetland, or ocean. Surface water is naturally replenished through precipitation, but is naturally lost through evaporation and seepage into soil. </w:t>
      </w:r>
    </w:p>
    <w:p w:rsidR="006C4831" w:rsidRPr="00337913" w:rsidRDefault="006C4831" w:rsidP="006C4831">
      <w:pPr>
        <w:pStyle w:val="Heading2"/>
      </w:pPr>
      <w:r>
        <w:t>3.8</w:t>
      </w:r>
      <w:r w:rsidRPr="00337913">
        <w:t xml:space="preserve">.1 Existing Setting </w:t>
      </w:r>
    </w:p>
    <w:p w:rsidR="006C4831" w:rsidRPr="00337913" w:rsidRDefault="006C4831" w:rsidP="006C4831">
      <w:pPr>
        <w:pStyle w:val="Heading3"/>
      </w:pPr>
      <w:r w:rsidRPr="00337913">
        <w:t>Regional Hydrology</w:t>
      </w:r>
    </w:p>
    <w:p w:rsidR="006C4831" w:rsidRPr="00337913" w:rsidRDefault="006C4831" w:rsidP="006C4831">
      <w:pPr>
        <w:pStyle w:val="Heading4"/>
      </w:pPr>
      <w:r w:rsidRPr="00337913">
        <w:t>Location and Climate</w:t>
      </w:r>
    </w:p>
    <w:p w:rsidR="006C4831" w:rsidRPr="00337913" w:rsidRDefault="006C4831" w:rsidP="006C4831">
      <w:r w:rsidRPr="00337913">
        <w:t xml:space="preserve">The City of Cotati is located in Sonoma County, California approximately 20 miles east of the Pacific Ocean, and 45 miles north of San Francisco. The Cotati city limits encompass approximately 1,217 acres. The City's Sphere of Influence covers an additional 1,010 acres. </w:t>
      </w:r>
    </w:p>
    <w:p w:rsidR="006C4831" w:rsidRPr="00337913" w:rsidRDefault="006C4831" w:rsidP="006C4831">
      <w:r w:rsidRPr="00337913">
        <w:t>The climate in Cotati is mild with average high temperatures ranging from 58-83 degrees Fahrenheit (F), and average lows ranging from 38-52. The average annual precipitation is 25 inches, most of which comes in the form of winter rain. Summer coastal fog often reaches Cotati through the coastal valleys to the west.</w:t>
      </w:r>
    </w:p>
    <w:p w:rsidR="006C4831" w:rsidRPr="00337913" w:rsidRDefault="006C4831" w:rsidP="006C4831">
      <w:pPr>
        <w:pStyle w:val="Heading4"/>
      </w:pPr>
      <w:r w:rsidRPr="00337913">
        <w:lastRenderedPageBreak/>
        <w:t>Watersheds</w:t>
      </w:r>
    </w:p>
    <w:p w:rsidR="006C4831" w:rsidRPr="00337913" w:rsidRDefault="006C4831" w:rsidP="006C4831">
      <w:r w:rsidRPr="00337913">
        <w:t xml:space="preserve">A watershed is a region that is bound by a divide that drains to a common watercourse or body of water. Watersheds serve an important biological function, oftentimes supporting an abundance of aquatic and terrestrial wildlife including special-status species and anadromous and native local fisheries. Watersheds provide conditions necessary for riparian habitat. </w:t>
      </w:r>
    </w:p>
    <w:p w:rsidR="006C4831" w:rsidRPr="00337913" w:rsidRDefault="006C4831" w:rsidP="006C4831">
      <w:r w:rsidRPr="00337913">
        <w:t xml:space="preserve">The State of California uses a hierarchical naming and numbering convention to define watershed areas for management purposes. This means that boundaries are defined according to size and topography, with multiple sub-watersheds within larger watersheds. Table </w:t>
      </w:r>
      <w:r>
        <w:t>3.8</w:t>
      </w:r>
      <w:r w:rsidRPr="00337913">
        <w:t>-1 shows the primary watershed classification levels used by the State of California. The second column indicates the approximate size that a watershed area may be within a particular classification level, although variation in size is common.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2160"/>
        <w:gridCol w:w="4284"/>
      </w:tblGrid>
      <w:tr w:rsidR="006C4831" w:rsidRPr="00337913">
        <w:trPr>
          <w:trHeight w:val="288"/>
        </w:trPr>
        <w:tc>
          <w:tcPr>
            <w:tcW w:w="8964" w:type="dxa"/>
            <w:gridSpan w:val="3"/>
            <w:shd w:val="clear" w:color="auto" w:fill="000000"/>
            <w:vAlign w:val="center"/>
          </w:tcPr>
          <w:p w:rsidR="006C4831" w:rsidRPr="00E90E46" w:rsidRDefault="006C4831" w:rsidP="006C4831">
            <w:pPr>
              <w:pStyle w:val="Heading7"/>
              <w:rPr>
                <w:smallCaps w:val="0"/>
                <w:color w:val="FFFFFF"/>
                <w:spacing w:val="5"/>
                <w:lang w:bidi="en-US"/>
              </w:rPr>
            </w:pPr>
            <w:r w:rsidRPr="00E90E46">
              <w:rPr>
                <w:color w:val="FFFFFF"/>
                <w:lang w:val="en-US" w:eastAsia="en-US" w:bidi="en-US"/>
              </w:rPr>
              <w:t>Table 3.8-1: State of California Watershed Hierarchy Naming Convention</w:t>
            </w:r>
          </w:p>
        </w:tc>
      </w:tr>
      <w:tr w:rsidR="006C4831" w:rsidRPr="00337913">
        <w:trPr>
          <w:trHeight w:val="288"/>
        </w:trPr>
        <w:tc>
          <w:tcPr>
            <w:tcW w:w="2520" w:type="dxa"/>
            <w:shd w:val="clear" w:color="auto" w:fill="BFBFBF"/>
            <w:vAlign w:val="center"/>
          </w:tcPr>
          <w:p w:rsidR="006C4831" w:rsidRPr="00E90E46" w:rsidRDefault="006C4831" w:rsidP="006C4831">
            <w:pPr>
              <w:pStyle w:val="TableHeadingRow"/>
              <w:rPr>
                <w:rFonts w:ascii="Calibri" w:hAnsi="Calibri"/>
              </w:rPr>
            </w:pPr>
            <w:r w:rsidRPr="00E90E46">
              <w:rPr>
                <w:rFonts w:ascii="Calibri" w:hAnsi="Calibri"/>
                <w:lang w:val="en-US" w:eastAsia="en-US"/>
              </w:rPr>
              <w:t>Watershed Level</w:t>
            </w:r>
          </w:p>
        </w:tc>
        <w:tc>
          <w:tcPr>
            <w:tcW w:w="2160" w:type="dxa"/>
            <w:shd w:val="clear" w:color="auto" w:fill="BFBFBF"/>
            <w:vAlign w:val="center"/>
          </w:tcPr>
          <w:p w:rsidR="006C4831" w:rsidRPr="00E90E46" w:rsidRDefault="006C4831" w:rsidP="006C4831">
            <w:pPr>
              <w:pStyle w:val="TableHeadingRow"/>
              <w:rPr>
                <w:rFonts w:ascii="Calibri" w:hAnsi="Calibri"/>
              </w:rPr>
            </w:pPr>
            <w:r w:rsidRPr="00E90E46">
              <w:rPr>
                <w:rFonts w:ascii="Calibri" w:hAnsi="Calibri"/>
                <w:lang w:val="en-US" w:eastAsia="en-US"/>
              </w:rPr>
              <w:t>Approximate Square Miles (Acres)</w:t>
            </w:r>
          </w:p>
        </w:tc>
        <w:tc>
          <w:tcPr>
            <w:tcW w:w="4284" w:type="dxa"/>
            <w:shd w:val="clear" w:color="auto" w:fill="BFBFBF"/>
            <w:vAlign w:val="center"/>
          </w:tcPr>
          <w:p w:rsidR="006C4831" w:rsidRPr="00E90E46" w:rsidRDefault="006C4831" w:rsidP="006C4831">
            <w:pPr>
              <w:pStyle w:val="TableHeadingRow"/>
              <w:rPr>
                <w:rFonts w:ascii="Calibri" w:hAnsi="Calibri"/>
              </w:rPr>
            </w:pPr>
            <w:r w:rsidRPr="00E90E46">
              <w:rPr>
                <w:rFonts w:ascii="Calibri" w:hAnsi="Calibri"/>
                <w:lang w:val="en-US" w:eastAsia="en-US"/>
              </w:rPr>
              <w:t>Description</w:t>
            </w:r>
          </w:p>
        </w:tc>
      </w:tr>
      <w:tr w:rsidR="006C4831" w:rsidRPr="00337913">
        <w:trPr>
          <w:trHeight w:val="288"/>
        </w:trPr>
        <w:tc>
          <w:tcPr>
            <w:tcW w:w="2520" w:type="dxa"/>
            <w:vAlign w:val="center"/>
          </w:tcPr>
          <w:p w:rsidR="006C4831" w:rsidRPr="00E90E46" w:rsidRDefault="006C4831" w:rsidP="006C4831">
            <w:pPr>
              <w:pStyle w:val="TableText"/>
              <w:spacing w:before="2" w:after="2"/>
              <w:jc w:val="center"/>
              <w:rPr>
                <w:sz w:val="20"/>
                <w:szCs w:val="20"/>
              </w:rPr>
            </w:pPr>
            <w:r w:rsidRPr="00E90E46">
              <w:rPr>
                <w:sz w:val="20"/>
                <w:szCs w:val="20"/>
                <w:lang w:val="en-US" w:eastAsia="en-US"/>
              </w:rPr>
              <w:t>Hydrologic Region (HR)</w:t>
            </w:r>
          </w:p>
        </w:tc>
        <w:tc>
          <w:tcPr>
            <w:tcW w:w="2160" w:type="dxa"/>
            <w:vAlign w:val="center"/>
          </w:tcPr>
          <w:p w:rsidR="006C4831" w:rsidRPr="00E90E46" w:rsidRDefault="006C4831" w:rsidP="006C4831">
            <w:pPr>
              <w:pStyle w:val="TableText"/>
              <w:spacing w:before="2" w:after="2"/>
              <w:jc w:val="center"/>
              <w:rPr>
                <w:sz w:val="20"/>
                <w:szCs w:val="20"/>
              </w:rPr>
            </w:pPr>
            <w:r w:rsidRPr="00E90E46">
              <w:rPr>
                <w:sz w:val="20"/>
                <w:szCs w:val="20"/>
                <w:lang w:val="en-US" w:eastAsia="en-US"/>
              </w:rPr>
              <w:t>12,735 (8,150,000)</w:t>
            </w:r>
          </w:p>
        </w:tc>
        <w:tc>
          <w:tcPr>
            <w:tcW w:w="4284" w:type="dxa"/>
            <w:vAlign w:val="center"/>
          </w:tcPr>
          <w:p w:rsidR="006C4831" w:rsidRPr="00E90E46" w:rsidRDefault="006C4831" w:rsidP="006C4831">
            <w:pPr>
              <w:pStyle w:val="TableText"/>
              <w:spacing w:before="2" w:after="2"/>
              <w:jc w:val="left"/>
              <w:rPr>
                <w:sz w:val="20"/>
                <w:szCs w:val="20"/>
              </w:rPr>
            </w:pPr>
            <w:r w:rsidRPr="00E90E46">
              <w:rPr>
                <w:sz w:val="20"/>
                <w:szCs w:val="20"/>
                <w:lang w:val="en-US" w:eastAsia="en-US"/>
              </w:rPr>
              <w:t>Defined by large-scale topographic and geologic considerations. The State of California is divided into ten HRs.</w:t>
            </w:r>
          </w:p>
        </w:tc>
      </w:tr>
      <w:tr w:rsidR="006C4831" w:rsidRPr="00337913">
        <w:trPr>
          <w:trHeight w:val="288"/>
        </w:trPr>
        <w:tc>
          <w:tcPr>
            <w:tcW w:w="2520" w:type="dxa"/>
            <w:vAlign w:val="center"/>
          </w:tcPr>
          <w:p w:rsidR="006C4831" w:rsidRPr="00E90E46" w:rsidRDefault="006C4831" w:rsidP="006C4831">
            <w:pPr>
              <w:pStyle w:val="TableText"/>
              <w:spacing w:before="2" w:after="2"/>
              <w:jc w:val="center"/>
              <w:rPr>
                <w:sz w:val="20"/>
                <w:szCs w:val="20"/>
              </w:rPr>
            </w:pPr>
            <w:r w:rsidRPr="00E90E46">
              <w:rPr>
                <w:sz w:val="20"/>
                <w:szCs w:val="20"/>
                <w:lang w:val="en-US" w:eastAsia="en-US"/>
              </w:rPr>
              <w:t>Hydrologic Unit (HU)</w:t>
            </w:r>
          </w:p>
        </w:tc>
        <w:tc>
          <w:tcPr>
            <w:tcW w:w="2160" w:type="dxa"/>
            <w:vAlign w:val="center"/>
          </w:tcPr>
          <w:p w:rsidR="006C4831" w:rsidRPr="00E90E46" w:rsidRDefault="006C4831" w:rsidP="006C4831">
            <w:pPr>
              <w:pStyle w:val="TableText"/>
              <w:spacing w:before="2" w:after="2"/>
              <w:jc w:val="center"/>
              <w:rPr>
                <w:sz w:val="20"/>
                <w:szCs w:val="20"/>
              </w:rPr>
            </w:pPr>
            <w:r w:rsidRPr="00E90E46">
              <w:rPr>
                <w:sz w:val="20"/>
                <w:szCs w:val="20"/>
                <w:lang w:val="en-US" w:eastAsia="en-US"/>
              </w:rPr>
              <w:t>672 (430,000)</w:t>
            </w:r>
          </w:p>
        </w:tc>
        <w:tc>
          <w:tcPr>
            <w:tcW w:w="4284" w:type="dxa"/>
            <w:vAlign w:val="center"/>
          </w:tcPr>
          <w:p w:rsidR="006C4831" w:rsidRPr="00E90E46" w:rsidRDefault="006C4831" w:rsidP="006C4831">
            <w:pPr>
              <w:pStyle w:val="TableText"/>
              <w:spacing w:before="2" w:after="2"/>
              <w:jc w:val="left"/>
              <w:rPr>
                <w:sz w:val="20"/>
                <w:szCs w:val="20"/>
              </w:rPr>
            </w:pPr>
            <w:r w:rsidRPr="00E90E46">
              <w:rPr>
                <w:sz w:val="20"/>
                <w:szCs w:val="20"/>
                <w:lang w:val="en-US" w:eastAsia="en-US"/>
              </w:rPr>
              <w:t>Defined by surface drainage; may include a major river watershed, groundwater basin, or closed drainage, among others.</w:t>
            </w:r>
          </w:p>
        </w:tc>
      </w:tr>
      <w:tr w:rsidR="006C4831" w:rsidRPr="00337913">
        <w:trPr>
          <w:trHeight w:val="288"/>
        </w:trPr>
        <w:tc>
          <w:tcPr>
            <w:tcW w:w="2520" w:type="dxa"/>
            <w:vAlign w:val="center"/>
          </w:tcPr>
          <w:p w:rsidR="006C4831" w:rsidRPr="00E90E46" w:rsidRDefault="006C4831" w:rsidP="006C4831">
            <w:pPr>
              <w:pStyle w:val="TableText"/>
              <w:spacing w:before="2" w:after="2"/>
              <w:jc w:val="center"/>
              <w:rPr>
                <w:sz w:val="20"/>
                <w:szCs w:val="20"/>
              </w:rPr>
            </w:pPr>
            <w:r w:rsidRPr="00E90E46">
              <w:rPr>
                <w:sz w:val="20"/>
                <w:szCs w:val="20"/>
                <w:lang w:val="en-US" w:eastAsia="en-US"/>
              </w:rPr>
              <w:t>Hydrologic Area (HA)</w:t>
            </w:r>
          </w:p>
        </w:tc>
        <w:tc>
          <w:tcPr>
            <w:tcW w:w="2160" w:type="dxa"/>
            <w:vAlign w:val="center"/>
          </w:tcPr>
          <w:p w:rsidR="006C4831" w:rsidRPr="00E90E46" w:rsidRDefault="006C4831" w:rsidP="006C4831">
            <w:pPr>
              <w:pStyle w:val="TableText"/>
              <w:spacing w:before="2" w:after="2"/>
              <w:jc w:val="center"/>
              <w:rPr>
                <w:sz w:val="20"/>
                <w:szCs w:val="20"/>
              </w:rPr>
            </w:pPr>
            <w:r w:rsidRPr="00E90E46">
              <w:rPr>
                <w:sz w:val="20"/>
                <w:szCs w:val="20"/>
                <w:lang w:val="en-US" w:eastAsia="en-US"/>
              </w:rPr>
              <w:t>244 (156,000)</w:t>
            </w:r>
          </w:p>
        </w:tc>
        <w:tc>
          <w:tcPr>
            <w:tcW w:w="4284" w:type="dxa"/>
            <w:vAlign w:val="center"/>
          </w:tcPr>
          <w:p w:rsidR="006C4831" w:rsidRPr="00E90E46" w:rsidRDefault="006C4831" w:rsidP="006C4831">
            <w:pPr>
              <w:pStyle w:val="TableText"/>
              <w:spacing w:before="2" w:after="2"/>
              <w:jc w:val="left"/>
              <w:rPr>
                <w:sz w:val="20"/>
                <w:szCs w:val="20"/>
              </w:rPr>
            </w:pPr>
            <w:r w:rsidRPr="00E90E46">
              <w:rPr>
                <w:sz w:val="20"/>
                <w:szCs w:val="20"/>
                <w:lang w:val="en-US" w:eastAsia="en-US"/>
              </w:rPr>
              <w:t>Major subdivisions of hydrologic units, such as by major tributaries, groundwater attributes, or stream components.</w:t>
            </w:r>
          </w:p>
        </w:tc>
      </w:tr>
      <w:tr w:rsidR="006C4831" w:rsidRPr="00337913">
        <w:trPr>
          <w:trHeight w:val="288"/>
        </w:trPr>
        <w:tc>
          <w:tcPr>
            <w:tcW w:w="2520" w:type="dxa"/>
            <w:vAlign w:val="center"/>
          </w:tcPr>
          <w:p w:rsidR="006C4831" w:rsidRPr="00E90E46" w:rsidRDefault="006C4831" w:rsidP="006C4831">
            <w:pPr>
              <w:pStyle w:val="TableText"/>
              <w:spacing w:before="2" w:after="2"/>
              <w:jc w:val="center"/>
              <w:rPr>
                <w:sz w:val="20"/>
                <w:szCs w:val="20"/>
              </w:rPr>
            </w:pPr>
            <w:r w:rsidRPr="00E90E46">
              <w:rPr>
                <w:sz w:val="20"/>
                <w:szCs w:val="20"/>
                <w:lang w:val="en-US" w:eastAsia="en-US"/>
              </w:rPr>
              <w:t>Hydrologic Sub-Area (HSA)</w:t>
            </w:r>
          </w:p>
        </w:tc>
        <w:tc>
          <w:tcPr>
            <w:tcW w:w="2160" w:type="dxa"/>
            <w:vAlign w:val="center"/>
          </w:tcPr>
          <w:p w:rsidR="006C4831" w:rsidRPr="00E90E46" w:rsidRDefault="006C4831" w:rsidP="006C4831">
            <w:pPr>
              <w:pStyle w:val="TableText"/>
              <w:spacing w:before="2" w:after="2"/>
              <w:jc w:val="center"/>
              <w:rPr>
                <w:sz w:val="20"/>
                <w:szCs w:val="20"/>
              </w:rPr>
            </w:pPr>
            <w:r w:rsidRPr="00E90E46">
              <w:rPr>
                <w:sz w:val="20"/>
                <w:szCs w:val="20"/>
                <w:lang w:val="en-US" w:eastAsia="en-US"/>
              </w:rPr>
              <w:t>195 (125,000)</w:t>
            </w:r>
          </w:p>
        </w:tc>
        <w:tc>
          <w:tcPr>
            <w:tcW w:w="4284" w:type="dxa"/>
            <w:vAlign w:val="center"/>
          </w:tcPr>
          <w:p w:rsidR="006C4831" w:rsidRPr="00E90E46" w:rsidRDefault="006C4831" w:rsidP="006C4831">
            <w:pPr>
              <w:pStyle w:val="TableText"/>
              <w:spacing w:before="2" w:after="2"/>
              <w:jc w:val="left"/>
              <w:rPr>
                <w:sz w:val="20"/>
                <w:szCs w:val="20"/>
              </w:rPr>
            </w:pPr>
            <w:r w:rsidRPr="00E90E46">
              <w:rPr>
                <w:sz w:val="20"/>
                <w:szCs w:val="20"/>
                <w:lang w:val="en-US" w:eastAsia="en-US"/>
              </w:rPr>
              <w:t>A major segment of an HA with significant geographical characteristics or hydrological homogeneity.</w:t>
            </w:r>
          </w:p>
        </w:tc>
      </w:tr>
    </w:tbl>
    <w:p w:rsidR="006C4831" w:rsidRPr="00337913" w:rsidRDefault="006C4831" w:rsidP="006C4831">
      <w:pPr>
        <w:pStyle w:val="Source"/>
      </w:pPr>
      <w:r w:rsidRPr="00337913">
        <w:t>Source: Calwater, California Interagency Watershed Mapping Committee 2008</w:t>
      </w:r>
    </w:p>
    <w:p w:rsidR="006C4831" w:rsidRPr="00337913" w:rsidRDefault="006C4831" w:rsidP="006C4831">
      <w:pPr>
        <w:pStyle w:val="Heading5"/>
      </w:pPr>
      <w:r w:rsidRPr="00337913">
        <w:t>Hydrologic Regions</w:t>
      </w:r>
    </w:p>
    <w:p w:rsidR="006C4831" w:rsidRPr="00337913" w:rsidRDefault="006C4831" w:rsidP="006C4831">
      <w:r w:rsidRPr="00337913">
        <w:t xml:space="preserve">The majority of the City of Cotati is located within the North Coast Hydrologic Region. A portion of the southern part of the City of Cotati is located within the San Francisco Bay Hydrologic Region. </w:t>
      </w:r>
      <w:proofErr w:type="gramStart"/>
      <w:r w:rsidRPr="00337913">
        <w:t>(CalWater, 2008).</w:t>
      </w:r>
      <w:proofErr w:type="gramEnd"/>
      <w:r w:rsidRPr="00337913">
        <w:t xml:space="preserve"> </w:t>
      </w:r>
    </w:p>
    <w:p w:rsidR="006C4831" w:rsidRPr="00337913" w:rsidRDefault="006C4831" w:rsidP="006C4831">
      <w:r w:rsidRPr="00337913">
        <w:rPr>
          <w:b/>
        </w:rPr>
        <w:t>North Coast Hydrologic Region:</w:t>
      </w:r>
      <w:r w:rsidRPr="00337913">
        <w:t xml:space="preserve"> The North Coast hydrologic region covers approximately 19,500 square miles and includes all or portions of Modoc, Siskiyou, Del Norte, Trinity, Humboldt, Mendocino, Lake, and Sonoma counties, and small areas of Shasta, Tehama, Glenn, Colusa, and Marin counties. </w:t>
      </w:r>
      <w:proofErr w:type="gramStart"/>
      <w:r w:rsidRPr="00337913">
        <w:t>(California Department of Water Resources, 2009).</w:t>
      </w:r>
      <w:proofErr w:type="gramEnd"/>
    </w:p>
    <w:p w:rsidR="006C4831" w:rsidRPr="00337913" w:rsidRDefault="006C4831" w:rsidP="006C4831">
      <w:pPr>
        <w:rPr>
          <w:b/>
        </w:rPr>
      </w:pPr>
      <w:r w:rsidRPr="00337913">
        <w:rPr>
          <w:b/>
        </w:rPr>
        <w:t xml:space="preserve">San Francisco Bay Hydrologic Region: </w:t>
      </w:r>
      <w:r w:rsidRPr="00337913">
        <w:t xml:space="preserve">The San Francisco Bay hydrologic region covers approximately 4,506 square miles and includes all or portions of Marin, Napa, Sonoma, Solano, San Mateo, Santa Clara, Contra Costa, Santa Cruz, and Alameda counties. </w:t>
      </w:r>
      <w:proofErr w:type="gramStart"/>
      <w:r w:rsidRPr="00337913">
        <w:t>(California Department of Water Resources, 2009).</w:t>
      </w:r>
      <w:proofErr w:type="gramEnd"/>
      <w:r w:rsidRPr="00337913">
        <w:t xml:space="preserve"> </w:t>
      </w:r>
    </w:p>
    <w:p w:rsidR="006C4831" w:rsidRPr="00337913" w:rsidRDefault="006C4831" w:rsidP="006C4831">
      <w:pPr>
        <w:pStyle w:val="Heading5"/>
      </w:pPr>
      <w:r w:rsidRPr="00337913">
        <w:lastRenderedPageBreak/>
        <w:t>Hydrologic Units</w:t>
      </w:r>
    </w:p>
    <w:p w:rsidR="006C4831" w:rsidRPr="00337913" w:rsidRDefault="006C4831" w:rsidP="006C4831">
      <w:r w:rsidRPr="00337913">
        <w:t xml:space="preserve">Within the City of Cotati there are two hydrologic units. These include the Russian and San Pablo. The majority of the City of Cotati is located in the Russian Hydrologic Unit, which covers approximately 950,249 acres. A small portion of the southern part of the City of Cotati is located in the San Pablo Hydrologic Unit, which covers approximately 785,049 acres. Figure </w:t>
      </w:r>
      <w:r>
        <w:t>3.8</w:t>
      </w:r>
      <w:r w:rsidRPr="00337913">
        <w:t xml:space="preserve">-1 illustrates the boundaries of the Sphere of Influence and City Limits relative to the boundaries of the hydrologic units. </w:t>
      </w:r>
    </w:p>
    <w:p w:rsidR="006C4831" w:rsidRPr="00337913" w:rsidRDefault="006C4831" w:rsidP="006C4831">
      <w:pPr>
        <w:pStyle w:val="Heading5"/>
      </w:pPr>
      <w:r w:rsidRPr="00337913">
        <w:t>Hydrologic Areas</w:t>
      </w:r>
    </w:p>
    <w:p w:rsidR="006C4831" w:rsidRPr="00337913" w:rsidRDefault="006C4831" w:rsidP="006C4831">
      <w:r w:rsidRPr="00337913">
        <w:t xml:space="preserve">For purposes of planning on a region-wide basis, hydrologic areas are generally considered to be the appropriate watershed planning level. As a planning area becomes smaller the hydrologic area level may be too large in terms of scale, and a hydrologic subarea may be considered more appropriate. The City of Cotati is located within 2 hydrologic subareas. These include: Upper Laguna de Santa Rosa subarea (Russian) and the Petaluma River subarea (San Pablo). Table </w:t>
      </w:r>
      <w:r>
        <w:t>3.8</w:t>
      </w:r>
      <w:r w:rsidRPr="00337913">
        <w:t xml:space="preserve">-2 and </w:t>
      </w:r>
      <w:r>
        <w:t>3.8</w:t>
      </w:r>
      <w:r w:rsidRPr="00337913">
        <w:t xml:space="preserve">-3 provides a breakdown of the acreages of each watershed within the City of Cotati.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2"/>
        <w:gridCol w:w="3689"/>
        <w:gridCol w:w="938"/>
        <w:gridCol w:w="851"/>
        <w:gridCol w:w="1212"/>
      </w:tblGrid>
      <w:tr w:rsidR="006C4831" w:rsidRPr="00337913">
        <w:trPr>
          <w:trHeight w:val="288"/>
        </w:trPr>
        <w:tc>
          <w:tcPr>
            <w:tcW w:w="5000" w:type="pct"/>
            <w:gridSpan w:val="5"/>
            <w:shd w:val="clear" w:color="auto" w:fill="000000"/>
            <w:vAlign w:val="center"/>
          </w:tcPr>
          <w:p w:rsidR="006C4831" w:rsidRPr="00E90E46" w:rsidRDefault="006C4831" w:rsidP="006C4831">
            <w:pPr>
              <w:pStyle w:val="Heading7"/>
              <w:rPr>
                <w:smallCaps w:val="0"/>
                <w:color w:val="FFFFFF"/>
                <w:spacing w:val="5"/>
                <w:lang w:bidi="en-US"/>
              </w:rPr>
            </w:pPr>
            <w:r w:rsidRPr="00E90E46">
              <w:rPr>
                <w:color w:val="FFFFFF"/>
                <w:lang w:val="en-US" w:eastAsia="en-US" w:bidi="en-US"/>
              </w:rPr>
              <w:t>Table 3.8-2: Watershed Information--Russian</w:t>
            </w:r>
          </w:p>
        </w:tc>
      </w:tr>
      <w:tr w:rsidR="006C4831" w:rsidRPr="00337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313" w:type="pct"/>
            <w:shd w:val="clear" w:color="auto" w:fill="D9D9D9"/>
            <w:noWrap/>
            <w:vAlign w:val="bottom"/>
          </w:tcPr>
          <w:p w:rsidR="006C4831" w:rsidRPr="00E90E46" w:rsidRDefault="006C4831" w:rsidP="006C4831">
            <w:pPr>
              <w:pStyle w:val="TableHeadingRow"/>
              <w:shd w:val="clear" w:color="auto" w:fill="D9D9D9"/>
              <w:rPr>
                <w:rFonts w:cs="Cambria"/>
                <w:iCs/>
                <w:szCs w:val="20"/>
              </w:rPr>
            </w:pPr>
            <w:r w:rsidRPr="00E90E46">
              <w:rPr>
                <w:rFonts w:cs="Cambria"/>
                <w:iCs/>
                <w:szCs w:val="20"/>
                <w:lang w:val="en-US" w:eastAsia="en-US"/>
              </w:rPr>
              <w:t xml:space="preserve">Hydrologic Information </w:t>
            </w:r>
          </w:p>
        </w:tc>
        <w:tc>
          <w:tcPr>
            <w:tcW w:w="2033" w:type="pct"/>
            <w:shd w:val="clear" w:color="auto" w:fill="D9D9D9"/>
            <w:noWrap/>
            <w:vAlign w:val="bottom"/>
          </w:tcPr>
          <w:p w:rsidR="006C4831" w:rsidRPr="00E90E46" w:rsidRDefault="006C4831" w:rsidP="006C4831">
            <w:pPr>
              <w:pStyle w:val="TableHeadingRow"/>
              <w:shd w:val="clear" w:color="auto" w:fill="D9D9D9"/>
              <w:rPr>
                <w:rFonts w:cs="Cambria"/>
                <w:iCs/>
                <w:szCs w:val="20"/>
              </w:rPr>
            </w:pPr>
            <w:r w:rsidRPr="00E90E46">
              <w:rPr>
                <w:rFonts w:cs="Cambria"/>
                <w:iCs/>
                <w:szCs w:val="20"/>
                <w:lang w:val="en-US" w:eastAsia="en-US"/>
              </w:rPr>
              <w:t xml:space="preserve">Description </w:t>
            </w:r>
          </w:p>
        </w:tc>
        <w:tc>
          <w:tcPr>
            <w:tcW w:w="517" w:type="pct"/>
            <w:shd w:val="clear" w:color="auto" w:fill="D9D9D9"/>
            <w:noWrap/>
            <w:vAlign w:val="bottom"/>
          </w:tcPr>
          <w:p w:rsidR="006C4831" w:rsidRPr="00E90E46" w:rsidRDefault="006C4831" w:rsidP="006C4831">
            <w:pPr>
              <w:pStyle w:val="TableHeadingRow"/>
              <w:shd w:val="clear" w:color="auto" w:fill="D9D9D9"/>
              <w:rPr>
                <w:rFonts w:cs="Cambria"/>
                <w:iCs/>
                <w:szCs w:val="20"/>
              </w:rPr>
            </w:pPr>
            <w:r w:rsidRPr="00E90E46">
              <w:rPr>
                <w:rFonts w:cs="Cambria"/>
                <w:iCs/>
                <w:szCs w:val="20"/>
                <w:lang w:val="en-US" w:eastAsia="en-US"/>
              </w:rPr>
              <w:t xml:space="preserve">Acres </w:t>
            </w:r>
          </w:p>
        </w:tc>
        <w:tc>
          <w:tcPr>
            <w:tcW w:w="469" w:type="pct"/>
            <w:shd w:val="clear" w:color="auto" w:fill="D9D9D9"/>
            <w:noWrap/>
            <w:vAlign w:val="bottom"/>
          </w:tcPr>
          <w:p w:rsidR="006C4831" w:rsidRPr="00E90E46" w:rsidRDefault="006C4831" w:rsidP="006C4831">
            <w:pPr>
              <w:pStyle w:val="TableHeadingRow"/>
              <w:shd w:val="clear" w:color="auto" w:fill="D9D9D9"/>
              <w:rPr>
                <w:rFonts w:cs="Cambria"/>
                <w:iCs/>
                <w:szCs w:val="20"/>
              </w:rPr>
            </w:pPr>
            <w:r w:rsidRPr="00E90E46">
              <w:rPr>
                <w:rFonts w:cs="Cambria"/>
                <w:iCs/>
                <w:szCs w:val="20"/>
                <w:lang w:val="en-US" w:eastAsia="en-US"/>
              </w:rPr>
              <w:t xml:space="preserve">Square Miles </w:t>
            </w:r>
          </w:p>
        </w:tc>
        <w:tc>
          <w:tcPr>
            <w:tcW w:w="668" w:type="pct"/>
            <w:shd w:val="clear" w:color="auto" w:fill="D9D9D9"/>
            <w:noWrap/>
            <w:vAlign w:val="bottom"/>
          </w:tcPr>
          <w:p w:rsidR="006C4831" w:rsidRPr="00E90E46" w:rsidRDefault="006C4831" w:rsidP="006C4831">
            <w:pPr>
              <w:pStyle w:val="TableHeadingRow"/>
              <w:shd w:val="clear" w:color="auto" w:fill="D9D9D9"/>
              <w:rPr>
                <w:rFonts w:cs="Cambria"/>
                <w:iCs/>
                <w:szCs w:val="20"/>
              </w:rPr>
            </w:pPr>
            <w:r w:rsidRPr="00E90E46">
              <w:rPr>
                <w:rFonts w:cs="Cambria"/>
                <w:iCs/>
                <w:szCs w:val="20"/>
                <w:lang w:val="en-US" w:eastAsia="en-US"/>
              </w:rPr>
              <w:t xml:space="preserve">Percent of Watershed </w:t>
            </w:r>
          </w:p>
        </w:tc>
      </w:tr>
      <w:tr w:rsidR="006C4831" w:rsidRPr="00337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313"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HUC8 (Catalog Unit)</w:t>
            </w:r>
          </w:p>
        </w:tc>
        <w:tc>
          <w:tcPr>
            <w:tcW w:w="2033"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Russian</w:t>
            </w:r>
          </w:p>
        </w:tc>
        <w:tc>
          <w:tcPr>
            <w:tcW w:w="517"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950,249</w:t>
            </w:r>
          </w:p>
        </w:tc>
        <w:tc>
          <w:tcPr>
            <w:tcW w:w="469"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1,485</w:t>
            </w:r>
          </w:p>
        </w:tc>
        <w:tc>
          <w:tcPr>
            <w:tcW w:w="668"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100%</w:t>
            </w:r>
          </w:p>
        </w:tc>
      </w:tr>
      <w:tr w:rsidR="006C4831" w:rsidRPr="00337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313"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HUC10 (Hydrologic Area)</w:t>
            </w:r>
          </w:p>
        </w:tc>
        <w:tc>
          <w:tcPr>
            <w:tcW w:w="2033"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Mark West Creek</w:t>
            </w:r>
          </w:p>
        </w:tc>
        <w:tc>
          <w:tcPr>
            <w:tcW w:w="517"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162,784</w:t>
            </w:r>
          </w:p>
        </w:tc>
        <w:tc>
          <w:tcPr>
            <w:tcW w:w="469"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254</w:t>
            </w:r>
          </w:p>
        </w:tc>
        <w:tc>
          <w:tcPr>
            <w:tcW w:w="668"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17%</w:t>
            </w:r>
          </w:p>
        </w:tc>
      </w:tr>
      <w:tr w:rsidR="006C4831" w:rsidRPr="00337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313"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HUC12 (Hydrologic Sub Area)</w:t>
            </w:r>
          </w:p>
        </w:tc>
        <w:tc>
          <w:tcPr>
            <w:tcW w:w="2033"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Upper Laguna de Santa Rosa</w:t>
            </w:r>
          </w:p>
        </w:tc>
        <w:tc>
          <w:tcPr>
            <w:tcW w:w="517"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39,712</w:t>
            </w:r>
          </w:p>
        </w:tc>
        <w:tc>
          <w:tcPr>
            <w:tcW w:w="469"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62</w:t>
            </w:r>
          </w:p>
        </w:tc>
        <w:tc>
          <w:tcPr>
            <w:tcW w:w="668"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4%</w:t>
            </w:r>
          </w:p>
        </w:tc>
      </w:tr>
    </w:tbl>
    <w:p w:rsidR="006C4831" w:rsidRPr="00337913" w:rsidRDefault="006C4831" w:rsidP="006C4831">
      <w:pPr>
        <w:pStyle w:val="Source"/>
        <w:spacing w:after="120"/>
        <w:ind w:left="86"/>
      </w:pPr>
      <w:r w:rsidRPr="00337913">
        <w:t>Source: CalWater 2.1.1, National Resources Conservation Service, IWMC.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3667"/>
        <w:gridCol w:w="936"/>
        <w:gridCol w:w="847"/>
        <w:gridCol w:w="1217"/>
      </w:tblGrid>
      <w:tr w:rsidR="006C4831" w:rsidRPr="00337913">
        <w:trPr>
          <w:trHeight w:val="288"/>
        </w:trPr>
        <w:tc>
          <w:tcPr>
            <w:tcW w:w="5000" w:type="pct"/>
            <w:gridSpan w:val="5"/>
            <w:shd w:val="clear" w:color="auto" w:fill="000000"/>
            <w:vAlign w:val="center"/>
          </w:tcPr>
          <w:p w:rsidR="006C4831" w:rsidRPr="00E90E46" w:rsidRDefault="006C4831" w:rsidP="006C4831">
            <w:pPr>
              <w:pStyle w:val="Heading7"/>
              <w:rPr>
                <w:smallCaps w:val="0"/>
                <w:color w:val="FFFFFF"/>
                <w:spacing w:val="5"/>
                <w:lang w:bidi="en-US"/>
              </w:rPr>
            </w:pPr>
            <w:r w:rsidRPr="00E90E46">
              <w:rPr>
                <w:color w:val="FFFFFF"/>
                <w:lang w:val="en-US" w:eastAsia="en-US" w:bidi="en-US"/>
              </w:rPr>
              <w:t xml:space="preserve">Table 3.8-3: Watershed Information--San Pablo </w:t>
            </w:r>
          </w:p>
        </w:tc>
      </w:tr>
      <w:tr w:rsidR="006C4831" w:rsidRPr="00337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325" w:type="pct"/>
            <w:shd w:val="clear" w:color="auto" w:fill="D9D9D9"/>
            <w:noWrap/>
            <w:vAlign w:val="bottom"/>
          </w:tcPr>
          <w:p w:rsidR="006C4831" w:rsidRPr="00E90E46" w:rsidRDefault="006C4831" w:rsidP="006C4831">
            <w:pPr>
              <w:pStyle w:val="TableHeadingRow"/>
              <w:shd w:val="clear" w:color="auto" w:fill="D9D9D9"/>
              <w:rPr>
                <w:rFonts w:cs="Cambria"/>
                <w:iCs/>
                <w:szCs w:val="20"/>
              </w:rPr>
            </w:pPr>
            <w:r w:rsidRPr="00E90E46">
              <w:rPr>
                <w:rFonts w:cs="Cambria"/>
                <w:iCs/>
                <w:szCs w:val="20"/>
                <w:lang w:val="en-US" w:eastAsia="en-US"/>
              </w:rPr>
              <w:t xml:space="preserve">Hydrologic Information </w:t>
            </w:r>
          </w:p>
        </w:tc>
        <w:tc>
          <w:tcPr>
            <w:tcW w:w="2021" w:type="pct"/>
            <w:shd w:val="clear" w:color="auto" w:fill="D9D9D9"/>
            <w:noWrap/>
            <w:vAlign w:val="bottom"/>
          </w:tcPr>
          <w:p w:rsidR="006C4831" w:rsidRPr="00E90E46" w:rsidRDefault="006C4831" w:rsidP="006C4831">
            <w:pPr>
              <w:pStyle w:val="TableHeadingRow"/>
              <w:shd w:val="clear" w:color="auto" w:fill="D9D9D9"/>
              <w:rPr>
                <w:rFonts w:cs="Cambria"/>
                <w:iCs/>
                <w:szCs w:val="20"/>
              </w:rPr>
            </w:pPr>
            <w:r w:rsidRPr="00E90E46">
              <w:rPr>
                <w:rFonts w:cs="Cambria"/>
                <w:iCs/>
                <w:szCs w:val="20"/>
                <w:lang w:val="en-US" w:eastAsia="en-US"/>
              </w:rPr>
              <w:t xml:space="preserve">Description </w:t>
            </w:r>
          </w:p>
        </w:tc>
        <w:tc>
          <w:tcPr>
            <w:tcW w:w="516" w:type="pct"/>
            <w:shd w:val="clear" w:color="auto" w:fill="D9D9D9"/>
            <w:noWrap/>
            <w:vAlign w:val="bottom"/>
          </w:tcPr>
          <w:p w:rsidR="006C4831" w:rsidRPr="00E90E46" w:rsidRDefault="006C4831" w:rsidP="006C4831">
            <w:pPr>
              <w:pStyle w:val="TableHeadingRow"/>
              <w:shd w:val="clear" w:color="auto" w:fill="D9D9D9"/>
              <w:rPr>
                <w:rFonts w:cs="Cambria"/>
                <w:iCs/>
                <w:szCs w:val="20"/>
              </w:rPr>
            </w:pPr>
            <w:r w:rsidRPr="00E90E46">
              <w:rPr>
                <w:rFonts w:cs="Cambria"/>
                <w:iCs/>
                <w:szCs w:val="20"/>
                <w:lang w:val="en-US" w:eastAsia="en-US"/>
              </w:rPr>
              <w:t xml:space="preserve">Acres </w:t>
            </w:r>
          </w:p>
        </w:tc>
        <w:tc>
          <w:tcPr>
            <w:tcW w:w="467" w:type="pct"/>
            <w:shd w:val="clear" w:color="auto" w:fill="D9D9D9"/>
            <w:noWrap/>
            <w:vAlign w:val="bottom"/>
          </w:tcPr>
          <w:p w:rsidR="006C4831" w:rsidRPr="00E90E46" w:rsidRDefault="006C4831" w:rsidP="006C4831">
            <w:pPr>
              <w:pStyle w:val="TableHeadingRow"/>
              <w:shd w:val="clear" w:color="auto" w:fill="D9D9D9"/>
              <w:rPr>
                <w:rFonts w:cs="Cambria"/>
                <w:iCs/>
                <w:szCs w:val="20"/>
              </w:rPr>
            </w:pPr>
            <w:r w:rsidRPr="00E90E46">
              <w:rPr>
                <w:rFonts w:cs="Cambria"/>
                <w:iCs/>
                <w:szCs w:val="20"/>
                <w:lang w:val="en-US" w:eastAsia="en-US"/>
              </w:rPr>
              <w:t xml:space="preserve">Square Miles </w:t>
            </w:r>
          </w:p>
        </w:tc>
        <w:tc>
          <w:tcPr>
            <w:tcW w:w="671" w:type="pct"/>
            <w:shd w:val="clear" w:color="auto" w:fill="D9D9D9"/>
            <w:noWrap/>
            <w:vAlign w:val="bottom"/>
          </w:tcPr>
          <w:p w:rsidR="006C4831" w:rsidRPr="00E90E46" w:rsidRDefault="006C4831" w:rsidP="006C4831">
            <w:pPr>
              <w:pStyle w:val="TableHeadingRow"/>
              <w:shd w:val="clear" w:color="auto" w:fill="D9D9D9"/>
              <w:rPr>
                <w:rFonts w:cs="Cambria"/>
                <w:iCs/>
                <w:szCs w:val="20"/>
              </w:rPr>
            </w:pPr>
            <w:r w:rsidRPr="00E90E46">
              <w:rPr>
                <w:rFonts w:cs="Cambria"/>
                <w:iCs/>
                <w:szCs w:val="20"/>
                <w:lang w:val="en-US" w:eastAsia="en-US"/>
              </w:rPr>
              <w:t xml:space="preserve">Percent of Watershed </w:t>
            </w:r>
          </w:p>
        </w:tc>
      </w:tr>
      <w:tr w:rsidR="006C4831" w:rsidRPr="00337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325"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HUC8 (Catalog Unit)</w:t>
            </w:r>
          </w:p>
        </w:tc>
        <w:tc>
          <w:tcPr>
            <w:tcW w:w="2021"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San Pablo</w:t>
            </w:r>
          </w:p>
        </w:tc>
        <w:tc>
          <w:tcPr>
            <w:tcW w:w="516"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785,049</w:t>
            </w:r>
          </w:p>
        </w:tc>
        <w:tc>
          <w:tcPr>
            <w:tcW w:w="467"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1,227</w:t>
            </w:r>
          </w:p>
        </w:tc>
        <w:tc>
          <w:tcPr>
            <w:tcW w:w="671"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100%</w:t>
            </w:r>
          </w:p>
        </w:tc>
      </w:tr>
      <w:tr w:rsidR="006C4831" w:rsidRPr="00337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325"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HUC10 (Hydrologic Area)</w:t>
            </w:r>
          </w:p>
        </w:tc>
        <w:tc>
          <w:tcPr>
            <w:tcW w:w="2021"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Petaluma River - Frontal San Pablo Bay Estuaries</w:t>
            </w:r>
          </w:p>
        </w:tc>
        <w:tc>
          <w:tcPr>
            <w:tcW w:w="516"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126,657</w:t>
            </w:r>
          </w:p>
        </w:tc>
        <w:tc>
          <w:tcPr>
            <w:tcW w:w="467"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198</w:t>
            </w:r>
          </w:p>
        </w:tc>
        <w:tc>
          <w:tcPr>
            <w:tcW w:w="671"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16%</w:t>
            </w:r>
          </w:p>
        </w:tc>
      </w:tr>
      <w:tr w:rsidR="006C4831" w:rsidRPr="00337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325"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HUC12 (Hydrologic Sub Area)</w:t>
            </w:r>
          </w:p>
        </w:tc>
        <w:tc>
          <w:tcPr>
            <w:tcW w:w="2021"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 xml:space="preserve">Petaluma River  </w:t>
            </w:r>
          </w:p>
        </w:tc>
        <w:tc>
          <w:tcPr>
            <w:tcW w:w="516"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28,711</w:t>
            </w:r>
          </w:p>
        </w:tc>
        <w:tc>
          <w:tcPr>
            <w:tcW w:w="467"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45</w:t>
            </w:r>
          </w:p>
        </w:tc>
        <w:tc>
          <w:tcPr>
            <w:tcW w:w="671" w:type="pct"/>
            <w:shd w:val="clear" w:color="auto" w:fill="auto"/>
            <w:noWrap/>
            <w:vAlign w:val="bottom"/>
          </w:tcPr>
          <w:p w:rsidR="006C4831" w:rsidRPr="00337913" w:rsidRDefault="006C4831" w:rsidP="006C4831">
            <w:pPr>
              <w:pStyle w:val="TableCenter"/>
              <w:rPr>
                <w:rFonts w:ascii="Cambria" w:hAnsi="Cambria"/>
                <w:sz w:val="18"/>
                <w:szCs w:val="18"/>
              </w:rPr>
            </w:pPr>
            <w:r w:rsidRPr="00337913">
              <w:rPr>
                <w:rFonts w:ascii="Cambria" w:hAnsi="Cambria"/>
                <w:sz w:val="18"/>
                <w:szCs w:val="18"/>
              </w:rPr>
              <w:t>4%</w:t>
            </w:r>
          </w:p>
        </w:tc>
      </w:tr>
    </w:tbl>
    <w:p w:rsidR="006C4831" w:rsidRPr="00337913" w:rsidRDefault="006C4831" w:rsidP="006C4831">
      <w:pPr>
        <w:pStyle w:val="Source"/>
        <w:spacing w:after="120"/>
        <w:ind w:left="86"/>
      </w:pPr>
      <w:r w:rsidRPr="00337913">
        <w:t>Source: CalWater 2.1.1, National Resources Conservation Service, IWMC.</w:t>
      </w:r>
    </w:p>
    <w:p w:rsidR="006C4831" w:rsidRPr="00E95E25" w:rsidRDefault="006C4831" w:rsidP="006C4831">
      <w:pPr>
        <w:pStyle w:val="Heading3"/>
      </w:pPr>
      <w:r w:rsidRPr="00E95E25">
        <w:t>Flooding</w:t>
      </w:r>
    </w:p>
    <w:p w:rsidR="006C4831" w:rsidRPr="00E95E25" w:rsidRDefault="006C4831" w:rsidP="006C4831">
      <w:pPr>
        <w:pStyle w:val="Heading4"/>
      </w:pPr>
      <w:r w:rsidRPr="00E95E25">
        <w:t>FEMA Flood Zones</w:t>
      </w:r>
    </w:p>
    <w:p w:rsidR="006C4831" w:rsidRPr="00E95E25" w:rsidRDefault="006C4831" w:rsidP="006C4831">
      <w:r w:rsidRPr="00E95E25">
        <w:t xml:space="preserve">FEMA mapping provides important guidance for the City in planning for flooding events and regulating development within identified flood hazard areas. FEMA’s National Flood Insurance Program (NFIP) is intended to encourage State and local governments to adopt responsible floodplain management programs and flood measures. As part of the program, the NFIP defines floodplain and floodway boundaries that are shown on Flood Insurance Rate Maps (FIRMs). The Citywide FEMA Firm Map is shown on Figure </w:t>
      </w:r>
      <w:r>
        <w:t>3.8</w:t>
      </w:r>
      <w:r w:rsidRPr="00E95E25">
        <w:t xml:space="preserve">-2. The California Department of Water Resources </w:t>
      </w:r>
      <w:r w:rsidRPr="00E95E25">
        <w:lastRenderedPageBreak/>
        <w:t xml:space="preserve">has recently completed work to map the 200-year floodplain for many areas of California. Areas within the 200-year floodplain are also shown in Figure </w:t>
      </w:r>
      <w:r>
        <w:t>3.8</w:t>
      </w:r>
      <w:r w:rsidRPr="00E95E25">
        <w:t>-2.</w:t>
      </w:r>
    </w:p>
    <w:p w:rsidR="006C4831" w:rsidRPr="00E95E25" w:rsidRDefault="006C4831" w:rsidP="006C4831">
      <w:r w:rsidRPr="00E95E25">
        <w:t>Areas that are subject to flooding are indicated by a series of alphabetical symbols, indicating anticipated exposure to flood events:</w:t>
      </w:r>
    </w:p>
    <w:p w:rsidR="006C4831" w:rsidRPr="00E95E25" w:rsidRDefault="006C4831" w:rsidP="006C4831">
      <w:pPr>
        <w:numPr>
          <w:ilvl w:val="0"/>
          <w:numId w:val="6"/>
        </w:numPr>
        <w:spacing w:after="120" w:line="240" w:lineRule="auto"/>
      </w:pPr>
      <w:r w:rsidRPr="00E95E25">
        <w:rPr>
          <w:rFonts w:cs="Calibri"/>
          <w:b/>
        </w:rPr>
        <w:t>Zone A:</w:t>
      </w:r>
      <w:r w:rsidRPr="00E95E25">
        <w:rPr>
          <w:rFonts w:cs="Calibri"/>
        </w:rPr>
        <w:t xml:space="preserve"> Subject to 100-year flooding with no base flood elevation</w:t>
      </w:r>
      <w:r w:rsidRPr="00E95E25">
        <w:t xml:space="preserve"> determined. Identified as an area that has a one percent chance of being flooded in any given year.</w:t>
      </w:r>
    </w:p>
    <w:p w:rsidR="006C4831" w:rsidRPr="00E95E25" w:rsidRDefault="006C4831" w:rsidP="006C4831">
      <w:pPr>
        <w:numPr>
          <w:ilvl w:val="0"/>
          <w:numId w:val="6"/>
        </w:numPr>
        <w:spacing w:after="120" w:line="240" w:lineRule="auto"/>
      </w:pPr>
      <w:r w:rsidRPr="00E95E25">
        <w:rPr>
          <w:rFonts w:cs="Calibri"/>
          <w:b/>
        </w:rPr>
        <w:t>Zone AE:</w:t>
      </w:r>
      <w:r w:rsidRPr="00E95E25">
        <w:rPr>
          <w:rFonts w:cs="Calibri"/>
        </w:rPr>
        <w:t xml:space="preserve"> Subject to 100-year flooding with base flood elevations</w:t>
      </w:r>
      <w:r w:rsidRPr="00E95E25">
        <w:t xml:space="preserve"> determined.</w:t>
      </w:r>
    </w:p>
    <w:p w:rsidR="006C4831" w:rsidRPr="00E95E25" w:rsidRDefault="006C4831" w:rsidP="006C4831">
      <w:pPr>
        <w:numPr>
          <w:ilvl w:val="0"/>
          <w:numId w:val="6"/>
        </w:numPr>
        <w:spacing w:after="120" w:line="240" w:lineRule="auto"/>
      </w:pPr>
      <w:r w:rsidRPr="00E95E25">
        <w:rPr>
          <w:rFonts w:cs="Calibri"/>
          <w:b/>
        </w:rPr>
        <w:t>Zone AH:</w:t>
      </w:r>
      <w:r w:rsidRPr="00E95E25">
        <w:rPr>
          <w:rFonts w:cs="Calibri"/>
        </w:rPr>
        <w:t xml:space="preserve"> Subject to 100-year flooding with flood depths between one</w:t>
      </w:r>
      <w:r w:rsidRPr="00E95E25">
        <w:t xml:space="preserve"> and three feet being areas of ponding with base flood elevations determined.</w:t>
      </w:r>
    </w:p>
    <w:p w:rsidR="006C4831" w:rsidRPr="00E95E25" w:rsidRDefault="006C4831" w:rsidP="006C4831">
      <w:pPr>
        <w:numPr>
          <w:ilvl w:val="0"/>
          <w:numId w:val="6"/>
        </w:numPr>
        <w:spacing w:after="120" w:line="240" w:lineRule="auto"/>
      </w:pPr>
      <w:r w:rsidRPr="00E95E25">
        <w:rPr>
          <w:rFonts w:cs="Calibri"/>
          <w:b/>
        </w:rPr>
        <w:t>Z</w:t>
      </w:r>
      <w:r w:rsidRPr="00E95E25">
        <w:rPr>
          <w:b/>
        </w:rPr>
        <w:t>one AO:</w:t>
      </w:r>
      <w:r w:rsidRPr="00E95E25">
        <w:t xml:space="preserve"> Subject to 100-year flooding with flood depths between one and three feet being subject to sheet flow on sloping terrain with average depths determined.</w:t>
      </w:r>
    </w:p>
    <w:p w:rsidR="006C4831" w:rsidRPr="00E95E25" w:rsidRDefault="006C4831" w:rsidP="006C4831">
      <w:pPr>
        <w:numPr>
          <w:ilvl w:val="0"/>
          <w:numId w:val="6"/>
        </w:numPr>
        <w:spacing w:after="120" w:line="240" w:lineRule="auto"/>
      </w:pPr>
      <w:r w:rsidRPr="00E95E25">
        <w:rPr>
          <w:b/>
        </w:rPr>
        <w:t>Zone X (unshaded):</w:t>
      </w:r>
      <w:r w:rsidRPr="00E95E25">
        <w:t xml:space="preserve"> Area of minimal flood hazard. Zone X is the area determined to be outside the 500-year flood and protected by levee from 100-year flood. </w:t>
      </w:r>
    </w:p>
    <w:p w:rsidR="006C4831" w:rsidRPr="00E95E25" w:rsidRDefault="006C4831" w:rsidP="006C4831">
      <w:pPr>
        <w:numPr>
          <w:ilvl w:val="0"/>
          <w:numId w:val="6"/>
        </w:numPr>
        <w:spacing w:after="120" w:line="240" w:lineRule="auto"/>
        <w:rPr>
          <w:rFonts w:cs="Calibri"/>
        </w:rPr>
      </w:pPr>
      <w:r w:rsidRPr="00E95E25">
        <w:rPr>
          <w:rFonts w:cs="Calibri"/>
          <w:b/>
        </w:rPr>
        <w:t>Zone X (shaded):</w:t>
      </w:r>
      <w:r w:rsidRPr="00E95E25">
        <w:rPr>
          <w:rFonts w:cs="Calibri"/>
        </w:rPr>
        <w:t xml:space="preserve"> Subject to 500-year flooding. Identified as an </w:t>
      </w:r>
      <w:r w:rsidRPr="00E95E25">
        <w:t>area that has a 0.2 percent chance of being flooded in a given year.</w:t>
      </w:r>
    </w:p>
    <w:p w:rsidR="006C4831" w:rsidRPr="00E95E25" w:rsidRDefault="006C4831" w:rsidP="006C4831">
      <w:pPr>
        <w:numPr>
          <w:ilvl w:val="0"/>
          <w:numId w:val="5"/>
        </w:numPr>
        <w:spacing w:line="240" w:lineRule="auto"/>
        <w:rPr>
          <w:rFonts w:cs="Calibri"/>
        </w:rPr>
      </w:pPr>
      <w:r w:rsidRPr="00E95E25">
        <w:rPr>
          <w:rFonts w:cs="Calibri"/>
          <w:b/>
        </w:rPr>
        <w:t xml:space="preserve">Zone D: </w:t>
      </w:r>
      <w:r w:rsidRPr="00E95E25">
        <w:rPr>
          <w:rFonts w:cs="Calibri"/>
        </w:rPr>
        <w:t xml:space="preserve">Areas where flood hazards are yet to be determined. </w:t>
      </w:r>
    </w:p>
    <w:p w:rsidR="006C4831" w:rsidRPr="00E95E25" w:rsidRDefault="006C4831" w:rsidP="006C4831">
      <w:r w:rsidRPr="00E95E25">
        <w:t xml:space="preserve">The City of Cotati is subject to flooding problems along the natural creeks and drainages that traverse the area. The Laguna de Santa Rosa and Cotati Creek are the most prominent drainages in Cotati that are subject to flooding. The 100-year flood plain extends onto many properties that are located immediately adjacent to these drainages. Additionally, land to the west of US 101 in the northern part of the City, and a portion of the Downtown Specific Plan Area, is within the 500 year floodplain. The flood hazards in Cotati are illustrated in Figure </w:t>
      </w:r>
      <w:r>
        <w:t>3.8</w:t>
      </w:r>
      <w:r w:rsidRPr="00E95E25">
        <w:t xml:space="preserve">-2. Table </w:t>
      </w:r>
      <w:r>
        <w:t>3.8</w:t>
      </w:r>
      <w:r w:rsidRPr="00E95E25">
        <w:t xml:space="preserve">-4 presents a breakdown of the acreage and percentage of the City, Sphere of Influence, and Urban Growth Boundary that are designed as a FEMA flood zone. </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347"/>
        <w:gridCol w:w="1088"/>
        <w:gridCol w:w="1298"/>
        <w:gridCol w:w="1041"/>
        <w:gridCol w:w="1421"/>
        <w:gridCol w:w="1155"/>
      </w:tblGrid>
      <w:tr w:rsidR="006C4831" w:rsidRPr="00E95E25">
        <w:trPr>
          <w:trHeight w:val="143"/>
          <w:jc w:val="center"/>
        </w:trPr>
        <w:tc>
          <w:tcPr>
            <w:tcW w:w="5000" w:type="pct"/>
            <w:gridSpan w:val="7"/>
            <w:shd w:val="clear" w:color="auto" w:fill="000000"/>
            <w:noWrap/>
            <w:vAlign w:val="center"/>
          </w:tcPr>
          <w:p w:rsidR="006C4831" w:rsidRPr="00E90E46" w:rsidRDefault="006C4831" w:rsidP="006C4831">
            <w:pPr>
              <w:pStyle w:val="Heading7"/>
              <w:rPr>
                <w:szCs w:val="20"/>
              </w:rPr>
            </w:pPr>
            <w:r w:rsidRPr="00E90E46">
              <w:rPr>
                <w:lang w:val="en-US" w:eastAsia="en-US"/>
              </w:rPr>
              <w:br w:type="page"/>
            </w:r>
            <w:r w:rsidRPr="00E90E46">
              <w:rPr>
                <w:color w:val="FFFFFF"/>
                <w:lang w:val="en-US" w:eastAsia="en-US" w:bidi="en-US"/>
              </w:rPr>
              <w:t>Table 3.8-4: FEMA Flood Zone Surface Areas in City of Cotati</w:t>
            </w:r>
          </w:p>
        </w:tc>
      </w:tr>
      <w:tr w:rsidR="006C4831" w:rsidRPr="00E95E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2" w:type="pct"/>
            <w:tcBorders>
              <w:top w:val="single" w:sz="4" w:space="0" w:color="auto"/>
              <w:left w:val="single" w:sz="4" w:space="0" w:color="auto"/>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b/>
                <w:bCs/>
                <w:color w:val="000000"/>
                <w:sz w:val="20"/>
                <w:szCs w:val="20"/>
              </w:rPr>
            </w:pPr>
            <w:bookmarkStart w:id="3" w:name="RANGE!A2:F5"/>
            <w:r w:rsidRPr="00E95E25">
              <w:rPr>
                <w:rFonts w:cs="Arial"/>
                <w:b/>
                <w:bCs/>
                <w:color w:val="000000"/>
                <w:sz w:val="20"/>
                <w:szCs w:val="20"/>
              </w:rPr>
              <w:t>Zone</w:t>
            </w:r>
            <w:bookmarkEnd w:id="3"/>
          </w:p>
        </w:tc>
        <w:tc>
          <w:tcPr>
            <w:tcW w:w="752" w:type="pct"/>
            <w:tcBorders>
              <w:top w:val="single" w:sz="4" w:space="0" w:color="auto"/>
              <w:left w:val="nil"/>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b/>
                <w:bCs/>
                <w:color w:val="000000"/>
                <w:sz w:val="20"/>
                <w:szCs w:val="20"/>
              </w:rPr>
            </w:pPr>
            <w:r w:rsidRPr="00E95E25">
              <w:rPr>
                <w:rFonts w:cs="Arial"/>
                <w:b/>
                <w:bCs/>
                <w:color w:val="000000"/>
                <w:sz w:val="20"/>
                <w:szCs w:val="20"/>
              </w:rPr>
              <w:t>Acres - City</w:t>
            </w:r>
          </w:p>
        </w:tc>
        <w:tc>
          <w:tcPr>
            <w:tcW w:w="609" w:type="pct"/>
            <w:tcBorders>
              <w:top w:val="single" w:sz="4" w:space="0" w:color="auto"/>
              <w:left w:val="nil"/>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b/>
                <w:bCs/>
                <w:color w:val="000000"/>
                <w:sz w:val="20"/>
                <w:szCs w:val="20"/>
              </w:rPr>
            </w:pPr>
            <w:r w:rsidRPr="00E95E25">
              <w:rPr>
                <w:rFonts w:cs="Arial"/>
                <w:b/>
                <w:bCs/>
                <w:color w:val="000000"/>
                <w:sz w:val="20"/>
                <w:szCs w:val="20"/>
              </w:rPr>
              <w:t>% of City</w:t>
            </w:r>
          </w:p>
        </w:tc>
        <w:tc>
          <w:tcPr>
            <w:tcW w:w="725" w:type="pct"/>
            <w:tcBorders>
              <w:top w:val="single" w:sz="4" w:space="0" w:color="auto"/>
              <w:left w:val="nil"/>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b/>
                <w:bCs/>
                <w:color w:val="000000"/>
                <w:sz w:val="20"/>
                <w:szCs w:val="20"/>
              </w:rPr>
            </w:pPr>
            <w:r w:rsidRPr="00E95E25">
              <w:rPr>
                <w:rFonts w:cs="Arial"/>
                <w:b/>
                <w:bCs/>
                <w:color w:val="000000"/>
                <w:sz w:val="20"/>
                <w:szCs w:val="20"/>
              </w:rPr>
              <w:t>Acres - SOI</w:t>
            </w:r>
          </w:p>
        </w:tc>
        <w:tc>
          <w:tcPr>
            <w:tcW w:w="583" w:type="pct"/>
            <w:tcBorders>
              <w:top w:val="single" w:sz="4" w:space="0" w:color="auto"/>
              <w:left w:val="nil"/>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b/>
                <w:bCs/>
                <w:color w:val="000000"/>
                <w:sz w:val="20"/>
                <w:szCs w:val="20"/>
              </w:rPr>
            </w:pPr>
            <w:r w:rsidRPr="00E95E25">
              <w:rPr>
                <w:rFonts w:cs="Arial"/>
                <w:b/>
                <w:bCs/>
                <w:color w:val="000000"/>
                <w:sz w:val="20"/>
                <w:szCs w:val="20"/>
              </w:rPr>
              <w:t>% of SOI</w:t>
            </w:r>
          </w:p>
        </w:tc>
        <w:tc>
          <w:tcPr>
            <w:tcW w:w="793" w:type="pct"/>
            <w:tcBorders>
              <w:top w:val="single" w:sz="4" w:space="0" w:color="auto"/>
              <w:left w:val="nil"/>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b/>
                <w:bCs/>
                <w:color w:val="000000"/>
                <w:sz w:val="20"/>
                <w:szCs w:val="20"/>
              </w:rPr>
            </w:pPr>
            <w:r w:rsidRPr="00E95E25">
              <w:rPr>
                <w:rFonts w:cs="Arial"/>
                <w:b/>
                <w:bCs/>
                <w:color w:val="000000"/>
                <w:sz w:val="20"/>
                <w:szCs w:val="20"/>
              </w:rPr>
              <w:t>Acres - UGA</w:t>
            </w:r>
          </w:p>
        </w:tc>
        <w:tc>
          <w:tcPr>
            <w:tcW w:w="645" w:type="pct"/>
            <w:tcBorders>
              <w:top w:val="single" w:sz="4" w:space="0" w:color="auto"/>
              <w:left w:val="nil"/>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b/>
                <w:bCs/>
                <w:color w:val="000000"/>
                <w:sz w:val="20"/>
                <w:szCs w:val="20"/>
              </w:rPr>
            </w:pPr>
            <w:r w:rsidRPr="00E95E25">
              <w:rPr>
                <w:rFonts w:cs="Arial"/>
                <w:b/>
                <w:bCs/>
                <w:color w:val="000000"/>
                <w:sz w:val="20"/>
                <w:szCs w:val="20"/>
              </w:rPr>
              <w:t>% of UGA</w:t>
            </w:r>
          </w:p>
        </w:tc>
      </w:tr>
      <w:tr w:rsidR="006C4831" w:rsidRPr="00E95E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2" w:type="pct"/>
            <w:tcBorders>
              <w:top w:val="nil"/>
              <w:left w:val="single" w:sz="4" w:space="0" w:color="auto"/>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X (shaded) (500yr)</w:t>
            </w:r>
          </w:p>
        </w:tc>
        <w:tc>
          <w:tcPr>
            <w:tcW w:w="752"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187.10</w:t>
            </w:r>
          </w:p>
        </w:tc>
        <w:tc>
          <w:tcPr>
            <w:tcW w:w="609"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15.4%</w:t>
            </w:r>
          </w:p>
        </w:tc>
        <w:tc>
          <w:tcPr>
            <w:tcW w:w="725"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0.48</w:t>
            </w:r>
          </w:p>
        </w:tc>
        <w:tc>
          <w:tcPr>
            <w:tcW w:w="583"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0.0%</w:t>
            </w:r>
          </w:p>
        </w:tc>
        <w:tc>
          <w:tcPr>
            <w:tcW w:w="793"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30.32</w:t>
            </w:r>
          </w:p>
        </w:tc>
        <w:tc>
          <w:tcPr>
            <w:tcW w:w="645"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8.5%</w:t>
            </w:r>
          </w:p>
        </w:tc>
      </w:tr>
      <w:tr w:rsidR="006C4831" w:rsidRPr="00E95E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2" w:type="pct"/>
            <w:tcBorders>
              <w:top w:val="nil"/>
              <w:left w:val="single" w:sz="4" w:space="0" w:color="auto"/>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AE (100yr)</w:t>
            </w:r>
          </w:p>
        </w:tc>
        <w:tc>
          <w:tcPr>
            <w:tcW w:w="752"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58.87</w:t>
            </w:r>
          </w:p>
        </w:tc>
        <w:tc>
          <w:tcPr>
            <w:tcW w:w="609"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4.8%</w:t>
            </w:r>
          </w:p>
        </w:tc>
        <w:tc>
          <w:tcPr>
            <w:tcW w:w="725"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0.21</w:t>
            </w:r>
          </w:p>
        </w:tc>
        <w:tc>
          <w:tcPr>
            <w:tcW w:w="583"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0.0%</w:t>
            </w:r>
          </w:p>
        </w:tc>
        <w:tc>
          <w:tcPr>
            <w:tcW w:w="793"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27.64</w:t>
            </w:r>
          </w:p>
        </w:tc>
        <w:tc>
          <w:tcPr>
            <w:tcW w:w="645"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7.7%</w:t>
            </w:r>
          </w:p>
        </w:tc>
      </w:tr>
      <w:tr w:rsidR="006C4831" w:rsidRPr="00E95E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2" w:type="pct"/>
            <w:tcBorders>
              <w:top w:val="nil"/>
              <w:left w:val="single" w:sz="4" w:space="0" w:color="auto"/>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X (unshaded)</w:t>
            </w:r>
          </w:p>
        </w:tc>
        <w:tc>
          <w:tcPr>
            <w:tcW w:w="752"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971.55</w:t>
            </w:r>
          </w:p>
        </w:tc>
        <w:tc>
          <w:tcPr>
            <w:tcW w:w="609"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79.8%</w:t>
            </w:r>
          </w:p>
        </w:tc>
        <w:tc>
          <w:tcPr>
            <w:tcW w:w="725"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1009.44</w:t>
            </w:r>
          </w:p>
        </w:tc>
        <w:tc>
          <w:tcPr>
            <w:tcW w:w="583"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99.9%</w:t>
            </w:r>
          </w:p>
        </w:tc>
        <w:tc>
          <w:tcPr>
            <w:tcW w:w="793"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299.35</w:t>
            </w:r>
          </w:p>
        </w:tc>
        <w:tc>
          <w:tcPr>
            <w:tcW w:w="645" w:type="pct"/>
            <w:tcBorders>
              <w:top w:val="nil"/>
              <w:left w:val="nil"/>
              <w:bottom w:val="single" w:sz="4" w:space="0" w:color="auto"/>
              <w:right w:val="single" w:sz="4" w:space="0" w:color="auto"/>
            </w:tcBorders>
            <w:shd w:val="clear" w:color="auto" w:fill="auto"/>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83.8%</w:t>
            </w:r>
          </w:p>
        </w:tc>
      </w:tr>
      <w:tr w:rsidR="006C4831" w:rsidRPr="00E95E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2" w:type="pct"/>
            <w:tcBorders>
              <w:top w:val="nil"/>
              <w:left w:val="single" w:sz="4" w:space="0" w:color="auto"/>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TOTAL</w:t>
            </w:r>
          </w:p>
        </w:tc>
        <w:tc>
          <w:tcPr>
            <w:tcW w:w="752" w:type="pct"/>
            <w:tcBorders>
              <w:top w:val="nil"/>
              <w:left w:val="nil"/>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1217.53</w:t>
            </w:r>
          </w:p>
        </w:tc>
        <w:tc>
          <w:tcPr>
            <w:tcW w:w="609" w:type="pct"/>
            <w:tcBorders>
              <w:top w:val="nil"/>
              <w:left w:val="nil"/>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100.0%</w:t>
            </w:r>
          </w:p>
        </w:tc>
        <w:tc>
          <w:tcPr>
            <w:tcW w:w="725" w:type="pct"/>
            <w:tcBorders>
              <w:top w:val="nil"/>
              <w:left w:val="nil"/>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1010.13</w:t>
            </w:r>
          </w:p>
        </w:tc>
        <w:tc>
          <w:tcPr>
            <w:tcW w:w="583" w:type="pct"/>
            <w:tcBorders>
              <w:top w:val="nil"/>
              <w:left w:val="nil"/>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100.0%</w:t>
            </w:r>
          </w:p>
        </w:tc>
        <w:tc>
          <w:tcPr>
            <w:tcW w:w="793" w:type="pct"/>
            <w:tcBorders>
              <w:top w:val="nil"/>
              <w:left w:val="nil"/>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357.30</w:t>
            </w:r>
          </w:p>
        </w:tc>
        <w:tc>
          <w:tcPr>
            <w:tcW w:w="645" w:type="pct"/>
            <w:tcBorders>
              <w:top w:val="nil"/>
              <w:left w:val="nil"/>
              <w:bottom w:val="single" w:sz="4" w:space="0" w:color="auto"/>
              <w:right w:val="single" w:sz="4" w:space="0" w:color="auto"/>
            </w:tcBorders>
            <w:shd w:val="clear" w:color="000000" w:fill="D8D8D8"/>
            <w:noWrap/>
            <w:vAlign w:val="bottom"/>
          </w:tcPr>
          <w:p w:rsidR="006C4831" w:rsidRPr="00E95E25" w:rsidRDefault="006C4831" w:rsidP="006C4831">
            <w:pPr>
              <w:spacing w:after="0"/>
              <w:jc w:val="center"/>
              <w:rPr>
                <w:rFonts w:cs="Arial"/>
                <w:color w:val="000000"/>
                <w:sz w:val="20"/>
                <w:szCs w:val="20"/>
              </w:rPr>
            </w:pPr>
            <w:r w:rsidRPr="00E95E25">
              <w:rPr>
                <w:rFonts w:cs="Arial"/>
                <w:color w:val="000000"/>
                <w:sz w:val="20"/>
                <w:szCs w:val="20"/>
              </w:rPr>
              <w:t>100.0%</w:t>
            </w:r>
          </w:p>
        </w:tc>
      </w:tr>
    </w:tbl>
    <w:p w:rsidR="006C4831" w:rsidRPr="00E95E25" w:rsidRDefault="006C4831" w:rsidP="006C4831">
      <w:pPr>
        <w:pStyle w:val="Source"/>
        <w:spacing w:after="120"/>
        <w:ind w:left="-90"/>
      </w:pPr>
      <w:r w:rsidRPr="00E95E25">
        <w:t>Source: USGS National Hydrography Dataset, FEMA, California DWR, Cotati GIS. Map date: March 22, 2011.</w:t>
      </w:r>
    </w:p>
    <w:p w:rsidR="006C4831" w:rsidRPr="00E95E25" w:rsidRDefault="006C4831" w:rsidP="006C4831">
      <w:r w:rsidRPr="00E95E25">
        <w:t>Approximately 4.8 percent of the land within the city limits is located within an area with a FEMA flood zone AE, which is an area that is s</w:t>
      </w:r>
      <w:r w:rsidRPr="00E95E25">
        <w:rPr>
          <w:rFonts w:cs="Calibri"/>
        </w:rPr>
        <w:t>ubject to 100-year flooding (</w:t>
      </w:r>
      <w:r w:rsidRPr="00E95E25">
        <w:t>a one percent chance of being flooded in any given year). There is no land within the Sphere of Influence located within this zone, but 7.7 percent of the land within the Urban Growth Boundary is located within the AE zone. These areas are considered high flood hazards.</w:t>
      </w:r>
    </w:p>
    <w:p w:rsidR="006C4831" w:rsidRPr="00E95E25" w:rsidRDefault="006C4831" w:rsidP="006C4831">
      <w:r w:rsidRPr="00E95E25">
        <w:t>Approximately 15.4 percent of the land within the city limits is located within an area with a FEMA flood zone X (shaded), which is an area that is s</w:t>
      </w:r>
      <w:r w:rsidRPr="00E95E25">
        <w:rPr>
          <w:rFonts w:cs="Calibri"/>
        </w:rPr>
        <w:t>ubject to 500-year flooding (</w:t>
      </w:r>
      <w:r w:rsidRPr="00E95E25">
        <w:t xml:space="preserve">a .2 percent chance of </w:t>
      </w:r>
      <w:r w:rsidRPr="00E95E25">
        <w:lastRenderedPageBreak/>
        <w:t xml:space="preserve">being flooded in any given year). There is no land within the Sphere of Influence located within this zone, but 8.5 percent of the land within the Urban Growth Boundary is located within the X (shaded) zone. These areas are considered low to moderate flood hazards. </w:t>
      </w:r>
    </w:p>
    <w:p w:rsidR="006C4831" w:rsidRPr="00E95E25" w:rsidRDefault="006C4831" w:rsidP="006C4831">
      <w:r w:rsidRPr="00E95E25">
        <w:t xml:space="preserve">Approximately 79.8 percent of the land within the city limits is located within an area with a FEMA flood zone X (unshaded), which is an area that is determined to be outside the 500-year flood and protected by levee from 100-year flood. Approximately 99.9 percent of the land within the Sphere of Influence, and 83.8 percent of land within the Urban Growth Boundary is located within the X (unshaded) zone. These areas are considered to be areas of minimal flood hazards. </w:t>
      </w:r>
    </w:p>
    <w:p w:rsidR="006C4831" w:rsidRPr="00E95E25" w:rsidRDefault="006C4831" w:rsidP="006C4831">
      <w:pPr>
        <w:pStyle w:val="Heading4"/>
      </w:pPr>
      <w:r w:rsidRPr="00E95E25">
        <w:t>Dam Inundation</w:t>
      </w:r>
    </w:p>
    <w:p w:rsidR="006C4831" w:rsidRPr="00E95E25" w:rsidRDefault="006C4831" w:rsidP="006C4831">
      <w:r w:rsidRPr="00E95E25">
        <w:rPr>
          <w:rFonts w:cs="Arial"/>
        </w:rPr>
        <w:t xml:space="preserve">Earthquakes centered close to a dam are typically the most likely cause of dam failure. </w:t>
      </w:r>
      <w:r w:rsidRPr="00E95E25">
        <w:t>Dam Inundation maps have been required in California since 1972, following the 1971 San Fernando Earthquake and near failure of the Lower Van Norman Dam. The City of Cotati is not within a dam inundation area. Additionally, per DWR publications Dams Owned and Operated by a Federal Agency and Dams within the Jurisdiction of the State of California, there are no dams operated by the federal government within City of Cotati.</w:t>
      </w:r>
    </w:p>
    <w:p w:rsidR="006C4831" w:rsidRPr="00337913" w:rsidRDefault="006C4831" w:rsidP="006C4831">
      <w:pPr>
        <w:pStyle w:val="Heading3"/>
      </w:pPr>
      <w:r w:rsidRPr="00337913">
        <w:t>Water Quality</w:t>
      </w:r>
    </w:p>
    <w:p w:rsidR="006C4831" w:rsidRPr="00337913" w:rsidRDefault="006C4831" w:rsidP="006C4831">
      <w:pPr>
        <w:pStyle w:val="Heading4"/>
      </w:pPr>
      <w:r w:rsidRPr="00337913">
        <w:t>Stormwater Runoff</w:t>
      </w:r>
    </w:p>
    <w:p w:rsidR="006C4831" w:rsidRPr="00337913" w:rsidRDefault="006C4831" w:rsidP="006C4831">
      <w:r w:rsidRPr="00337913">
        <w:t xml:space="preserve">Potential hazards to surface water quality include the following nonpoint pollution problems: high turbidity from sediment resulting from erosion of improperly graded construction projects, concentration of nitrates and dissolved solids from agriculture or surfacing septic tank failures, contaminated street and lawn run-off from urban areas, and warm water drainage discharges into cold water streams. </w:t>
      </w:r>
    </w:p>
    <w:p w:rsidR="006C4831" w:rsidRPr="00337913" w:rsidRDefault="006C4831" w:rsidP="006C4831">
      <w:r w:rsidRPr="00337913">
        <w:t>The most critical period for surface water quality is following a rainstorm which produces significant amounts of drainage runoff into streams at low flow, resulting in poor dilution of contaminates in the low flowing stream. Such conditions are most frequent during the fall at the beginning of the rainy season when stream flows are near their lowest annual levels. Besides the greases, oils, pesticides, litter, and organic matter associated with such runoff, heavy metals such as copper, zinc, and cadmium can cause considerable harm to aquatic organisms when introduced to streams in low flow conditions.</w:t>
      </w:r>
    </w:p>
    <w:p w:rsidR="006C4831" w:rsidRPr="00337913" w:rsidRDefault="006C4831" w:rsidP="006C4831">
      <w:r w:rsidRPr="00337913">
        <w:t>Urban storm water runoff was managed as a non-point discharge (a source not readily identifiable) under the Federal Water Pollution Control Amendments of 1972 (PL 92-500, Section 208) until the mid-1980's. However, since then, the Federal Environmental Protection Agency has continued to develop implementing rules which categorize urban runoff as a point source (an identifiable source) subject to National Pollution Discharge Elimination System (NPDES) permits. Rules now affect medium and large urban areas, and further rulemaking is expected as programs are developed to meet requirements of Federal water pollution control laws.</w:t>
      </w:r>
    </w:p>
    <w:p w:rsidR="006C4831" w:rsidRPr="00337913" w:rsidRDefault="006C4831" w:rsidP="006C4831">
      <w:r w:rsidRPr="00337913">
        <w:lastRenderedPageBreak/>
        <w:t>Surface water pollution is also caused by erosion. Excessive and improperly managed grading, vegetation removal, quarrying, logging, and agricultural practices all lead to increased erosion of exposed earth and sedimentation of watercourses during rainy periods. In slower moving water bodies these same factors often cause a buildup of siltation, which ultimately reduces the capacity of the water system to percolate and recharge groundwater basins, as well as adversely affecting both aquatic resources and flood control efforts.</w:t>
      </w:r>
    </w:p>
    <w:p w:rsidR="006C4831" w:rsidRPr="00337913" w:rsidRDefault="006C4831" w:rsidP="006C4831">
      <w:pPr>
        <w:pStyle w:val="Heading4"/>
      </w:pPr>
      <w:r w:rsidRPr="00337913">
        <w:t xml:space="preserve">Impaired Water Bodies </w:t>
      </w:r>
    </w:p>
    <w:p w:rsidR="006C4831" w:rsidRPr="00337913" w:rsidRDefault="006C4831" w:rsidP="006C4831">
      <w:r w:rsidRPr="00337913">
        <w:t>Section 303(d) of the federal Clean Water Act requires States to identify waters that do not meet water quality standards or objectives and thus, are considered "impaired." Once listed, Section 303(d) mandates prioritization and development of a Total Maximum Daily Load (TMDL). The TMDL is a tool that establishes the allowable loadings or other quantifiable parameters for a waterbody and thereby the basis for the States to establish Water quality-based controls. The purpose of TMDLs is to ensure that beneficial uses are restored and that water quality objectives are achieved.</w:t>
      </w:r>
    </w:p>
    <w:p w:rsidR="006C4831" w:rsidRPr="00337913" w:rsidRDefault="006C4831" w:rsidP="006C4831">
      <w:r w:rsidRPr="00337913">
        <w:t xml:space="preserve">The City of Cotati has one water body listed on the 2010 Section 303(d) list of impaired water bodies. The Laguna de Santa Rosa is listed as a Category 5 segment, which means it is a water segment where standards are not met and a TMDL is required, but not yet completed, for at least one of the pollutants being listed for this segment. The pollutants listed for the segment and their list date include: indicator bacteria (2008), mercury (2006), nitrogen (1992), dissolved oxygen (1990), phosphorous (1992), sedimentation/siltation (1998), and temperature (2002). The TMDL </w:t>
      </w:r>
      <w:r>
        <w:t>was</w:t>
      </w:r>
      <w:r w:rsidRPr="00337913">
        <w:t xml:space="preserve"> scheduled for completion on each of these pollutants in 2012, except for mercury, which is scheduled for 2019 (Department of Water Resources, 2010).</w:t>
      </w:r>
      <w:r>
        <w:t xml:space="preserve">  According to the North Coast Regional Water Quality Control Board’s website, (accessed June 12, 2014) TMDL efforts due for completion in 2012 remain ongoing.  </w:t>
      </w:r>
    </w:p>
    <w:p w:rsidR="006C4831" w:rsidRPr="00337913" w:rsidRDefault="006C4831" w:rsidP="006C4831">
      <w:pPr>
        <w:pStyle w:val="Heading3"/>
      </w:pPr>
      <w:r w:rsidRPr="00337913">
        <w:t>Water Purveyors</w:t>
      </w:r>
    </w:p>
    <w:p w:rsidR="006C4831" w:rsidRPr="00337913" w:rsidRDefault="006C4831" w:rsidP="006C4831">
      <w:pPr>
        <w:pStyle w:val="Heading4"/>
      </w:pPr>
      <w:r w:rsidRPr="00337913">
        <w:t xml:space="preserve">Sonoma County Water Agency </w:t>
      </w:r>
    </w:p>
    <w:p w:rsidR="006C4831" w:rsidRPr="00337913" w:rsidRDefault="006C4831" w:rsidP="006C4831">
      <w:r w:rsidRPr="00337913">
        <w:t xml:space="preserve">The City of Cotati is one of eight water contractors that have entered into a water supply agreement with the Sonoma County Water Agency for the delivery of Russian River water to its customers through a transmission system. The Water Agency’s diversion facilities extract Russian River underflow, which is reported under the Water Agency’s surface water rights. </w:t>
      </w:r>
    </w:p>
    <w:p w:rsidR="006C4831" w:rsidRPr="00337913" w:rsidRDefault="006C4831" w:rsidP="006C4831">
      <w:r w:rsidRPr="00337913">
        <w:t xml:space="preserve">The Sonoma County Water Agency's transmission system extends from the Russian River diversion facilities located near Forestville to the Santa Rosa, Petaluma, and Sonoma valleys. The transmission system consists of over 85 miles of pipelines that range in diameter from 16 to 54 inches, seven booster pump stations, and 18 storage tanks with a combined storage capacity of 129 million gallons. The major pipelines that comprise the system are known as the Santa Rosa Aqueduct (built in 1959), the Sonoma Aqueduct (built in 1963), the Petaluma Aqueduct (built in 1962), and the Russian River to Cotati Intertie (built in 1977). The City receives water directly from two turnouts located on the Russian River to Cotati Intertie. </w:t>
      </w:r>
    </w:p>
    <w:p w:rsidR="006C4831" w:rsidRPr="00337913" w:rsidRDefault="006C4831" w:rsidP="006C4831">
      <w:r w:rsidRPr="00337913">
        <w:lastRenderedPageBreak/>
        <w:t xml:space="preserve">Since 1999 the Sonoma County Water Agency has added a groundwater supply source to supplement the Russian River supply that it delivers to its customers, including Cotati. The Sonoma County Water Agency is expected to augment its groundwater supply source in future years to supplement the Russian River supply. </w:t>
      </w:r>
    </w:p>
    <w:p w:rsidR="006C4831" w:rsidRPr="00337913" w:rsidRDefault="006C4831" w:rsidP="006C4831">
      <w:r w:rsidRPr="00337913">
        <w:t>The water rights by which the City of Cotati obtains Russian River water are held by the SCWA and permitted by the California State Water Resources Control Board (SWRCB). The SCWA has the right to divert up to a total of 75,000 acre-feet per year for its water contractors and customers. Under the water supply agreement with the SCWA, the City is entitled to receive up to 1,520 acre-feet per year.</w:t>
      </w:r>
    </w:p>
    <w:p w:rsidR="006C4831" w:rsidRPr="00337913" w:rsidRDefault="006C4831" w:rsidP="006C4831">
      <w:pPr>
        <w:pStyle w:val="Heading4"/>
      </w:pPr>
      <w:r w:rsidRPr="00337913">
        <w:t>City of Cotati</w:t>
      </w:r>
    </w:p>
    <w:p w:rsidR="006C4831" w:rsidRPr="00337913" w:rsidRDefault="006C4831" w:rsidP="006C4831">
      <w:r w:rsidRPr="00337913">
        <w:t xml:space="preserve">In addition to the water supply from Sonoma County Water Agency, the City uses local groundwater supply from three municipal well sites located within the city limits. Prior to 1992, the City used groundwater to supply more than half of its demands; however, more recently, the City’s water strategy has been to </w:t>
      </w:r>
      <w:r>
        <w:t xml:space="preserve">primarily </w:t>
      </w:r>
      <w:r w:rsidRPr="00337913">
        <w:t>supply its demands by use of its Sonoma County Water Agency water supply and to use its local groundwater supplies to supplement demands during peak periods and also during periods of drought. The City’s local groundwater supply is a key element of its drought contingency plan and is planned to remain as such throughout the foreseeable future.</w:t>
      </w:r>
    </w:p>
    <w:p w:rsidR="006C4831" w:rsidRPr="00337913" w:rsidRDefault="006C4831" w:rsidP="006C4831">
      <w:pPr>
        <w:pStyle w:val="Heading3"/>
      </w:pPr>
      <w:r w:rsidRPr="00337913">
        <w:t>Water Source</w:t>
      </w:r>
    </w:p>
    <w:p w:rsidR="006C4831" w:rsidRPr="00337913" w:rsidRDefault="006C4831" w:rsidP="006C4831">
      <w:r w:rsidRPr="00337913">
        <w:t>The City's water comes from both surface water and groundwater. Prior to 1992, the City of Cotati used groundwater to supply more than half of its demands. More recently, the City’s water strategy has been to supply its demands by use of its Sonoma County Water Agency water supply and to use its local groundwater supplies to supplement its needs during peak periods and also during periods of drought. The City’s local groundwater supply is a key element of its drought contingency plan and is planned to remain as such throughout the planning horizon.</w:t>
      </w:r>
    </w:p>
    <w:p w:rsidR="006C4831" w:rsidRPr="00337913" w:rsidRDefault="006C4831" w:rsidP="006C4831">
      <w:r w:rsidRPr="00337913">
        <w:t xml:space="preserve">Most of the City's water is purchased from the Sonoma County Water Agency, which operates an extensive water supply distribution system in the region. Most of the water in the Sonoma County Water Agency distribution system is obtained from the Russian River, although they </w:t>
      </w:r>
      <w:r>
        <w:t>do also</w:t>
      </w:r>
      <w:r w:rsidRPr="00337913">
        <w:t xml:space="preserve"> blend groundwater into their system. </w:t>
      </w:r>
    </w:p>
    <w:p w:rsidR="006C4831" w:rsidRPr="00337913" w:rsidRDefault="006C4831" w:rsidP="006C4831">
      <w:pPr>
        <w:pStyle w:val="Heading4"/>
      </w:pPr>
      <w:r w:rsidRPr="00337913">
        <w:t>Surface Water</w:t>
      </w:r>
    </w:p>
    <w:p w:rsidR="006C4831" w:rsidRPr="00337913" w:rsidRDefault="006C4831" w:rsidP="006C4831">
      <w:r w:rsidRPr="00337913">
        <w:rPr>
          <w:b/>
        </w:rPr>
        <w:t xml:space="preserve">Russian River: </w:t>
      </w:r>
      <w:r w:rsidRPr="00337913">
        <w:t>The Russian River watershed drains an area of 1,485 square miles that includes much of Sonoma and Mendocino counties. The headwaters of the Russian River are located in central Mendocino County, approximately 15 miles north of Ukiah. The Russian River is approximately 110 miles in length and flows generally southward to Mirabel Park, where it changes course and flows westward to the discharge point at the Pacific Ocean near Jenner, approximately 20 miles west of Santa Rosa. (Sonoma County Water Agency, 2011).</w:t>
      </w:r>
    </w:p>
    <w:p w:rsidR="006C4831" w:rsidRPr="00337913" w:rsidRDefault="006C4831" w:rsidP="006C4831">
      <w:r w:rsidRPr="00337913">
        <w:t xml:space="preserve">Two federal projects impound water in the Russian River watershed: the Coyote Valley Dam on the Russian River east of the city of Ukiah in Mendocino County (forming Lake Mendocino), and the </w:t>
      </w:r>
      <w:r w:rsidRPr="00337913">
        <w:lastRenderedPageBreak/>
        <w:t>Warm Springs Dam on Dry Creek (a tributary of the Russian River) northwest of the City of Healdsburg in Sonoma County (forming Lake Sonoma). Because the Sonoma County Water Agency was the local sponsor for the dams and partially financed their construction, the Sonoma County Water Agency has the right to control releases from the water supply pools of both reservoirs. The Water Agency diverts water from the Russian River near Forestville and conveys the water via its transmission system (including diversion facilities, treatment facilities, aqueducts, pipelines, water storage tanks, and booster pump stations) to its customers, which includes the City of Cotati. (Sonoma County Water Agency, 2011).</w:t>
      </w:r>
    </w:p>
    <w:p w:rsidR="006C4831" w:rsidRPr="00337913" w:rsidRDefault="006C4831" w:rsidP="006C4831">
      <w:pPr>
        <w:pStyle w:val="Heading4"/>
      </w:pPr>
      <w:r w:rsidRPr="00337913">
        <w:t>Groundwater</w:t>
      </w:r>
    </w:p>
    <w:p w:rsidR="006C4831" w:rsidRPr="00337913" w:rsidRDefault="006C4831" w:rsidP="006C4831">
      <w:r w:rsidRPr="00337913">
        <w:rPr>
          <w:b/>
        </w:rPr>
        <w:t xml:space="preserve">Santa Rosa Plain Subbasin: </w:t>
      </w:r>
      <w:r w:rsidRPr="00337913">
        <w:t xml:space="preserve">The Santa Rosa Plain is a subbasin of the Santa Rosa Valley Basin. The Santa Rosa Plain drains northwest toward the Russian River, and is thus part of the North Coast Hydrologic Region. Several small hills near Cotati mark a drainage divide that separate the Santa Rosa Valley Basin from the Petaluma Valley Groundwater Basin, which drains to the southeast toward the San Francisco Bay. </w:t>
      </w:r>
    </w:p>
    <w:p w:rsidR="006C4831" w:rsidRPr="00337913" w:rsidRDefault="006C4831" w:rsidP="006C4831">
      <w:r w:rsidRPr="00337913">
        <w:t>The geology of the Santa Rosa Plain Subbasin is complex and the stratigraphic relationships are the subject of recent and continuing studies. Recent studies by the USGS have revealed that the basin is subdivided into two primary compartments termed the Windsor sub-basin in the north and the Cotati sub-basin in the south, which are separated by the Trenton fault. These two areas represent the deepest parts of the basin and range from 6,000 to 10,000 feet deep.</w:t>
      </w:r>
    </w:p>
    <w:p w:rsidR="006C4831" w:rsidRPr="00337913" w:rsidRDefault="006C4831" w:rsidP="006C4831">
      <w:r w:rsidRPr="00337913">
        <w:t>Both unconfined and confined aquifers are found within the Santa Rosa Plain subbasin depending upon locations in the basin with respect to relatively continuous clay layers, folding and faulting. The waterbearing deposits underlying the basin include the Wilson Grove Formation, the Glen Ellen Formation, the Petaluma Formation, and a younger and older alluvium. The Wilson Grove Formation is the major water-bearing unit in the western part of the basin and ranges in thickness from 300 feet to 1,500 feet. Deposited during the Pliocene, it is a marine deposit of fine sand and sandstone with thin interbeds of clay, silty-clay and some lenses of gravel. Interbedded and interfingered with the Wilson Grove Formation are Sonoma Volcanic sediments in the eastern basin separating the water-bearing units. Aquifer continuity and water quality are considered good based on the most current and detailed reference on the hydrogeology of the subbasin.</w:t>
      </w:r>
    </w:p>
    <w:p w:rsidR="006C4831" w:rsidRPr="008C64EA" w:rsidRDefault="006C4831" w:rsidP="006C4831">
      <w:r w:rsidRPr="00337913">
        <w:t xml:space="preserve">In 1982, a Department of Water Resources study concluded that groundwater levels in the south part of the Santa Rosa Plain (near Cotati and Rohnert Park) had decreased; however, recent studies </w:t>
      </w:r>
      <w:r>
        <w:t xml:space="preserve">completed by the U.S. Geological Service </w:t>
      </w:r>
      <w:r w:rsidRPr="00337913">
        <w:t>indicate that groundwater levels in this area have exhibited trends of recovery. This recovery trend in groundwater levels in the southern Santa Rosa Plain began around 2003 and has continued to the present. An estimated 10,500 permitted water-supply wells are located within the Santa Rosa Plain. These wells provide irrigation water for agriculture, industrial water supplies, rural residential, as well as municipal water supplies (i.e. City of Cotati) (Sonoma County Water Agency, 2011).</w:t>
      </w:r>
      <w:r>
        <w:t xml:space="preserve"> Groundwater leaves the basin (discharges) from wells, springs, evapotranspiration from plants, and as subsurface outflow. Groundwater also discharges to streams and contributes to streamflows in some areas of the basin, including segments of Santa Rosa Creek and the Laguna de Santa Rosa. Groundwater pumping is the most </w:t>
      </w:r>
      <w:r>
        <w:lastRenderedPageBreak/>
        <w:t>significant groundwater basin discharge from the study area, and has been estimated to be as much as 53,000 acre-feet per year, with the largest significant proportions being agricultural and domestic pumpage, followed by public supply pumpage. The majority of pumping is not measured or reported and was estimated in the Santa Rosa Plain Characterization and Management Planning Study (Sonoma County Water Agency, 2013) using land use data and a numerical groundwater flow model. Pumping from municipal public supply wells is the only component which is required to be measured and reported and comprises up to approximately 15% of the total pumping.</w:t>
      </w:r>
    </w:p>
    <w:p w:rsidR="006C4831" w:rsidRPr="00337913" w:rsidRDefault="006C4831" w:rsidP="006C4831">
      <w:pPr>
        <w:pStyle w:val="Heading2"/>
      </w:pPr>
      <w:r>
        <w:t>3.8</w:t>
      </w:r>
      <w:r w:rsidRPr="00337913">
        <w:t>.2</w:t>
      </w:r>
      <w:r w:rsidRPr="00337913">
        <w:tab/>
        <w:t>Regulatory Setting</w:t>
      </w:r>
    </w:p>
    <w:p w:rsidR="006C4831" w:rsidRPr="00337913" w:rsidRDefault="006C4831" w:rsidP="006C4831">
      <w:r w:rsidRPr="00337913">
        <w:t xml:space="preserve">There are a number of regulatory agencies whose responsibility includes the oversight of the water resources of the state and nation including the Federal Emergency Management Agency, the US Environmental Protection Agency, the State Water Resources Board, and the Regional Water Quality Control Board. The following is an overview of the federal, state and local regulations that are applicable to the proposed project. </w:t>
      </w:r>
    </w:p>
    <w:p w:rsidR="006C4831" w:rsidRPr="00337913" w:rsidRDefault="006C4831" w:rsidP="006C4831">
      <w:pPr>
        <w:pStyle w:val="Heading3"/>
      </w:pPr>
      <w:r w:rsidRPr="00337913">
        <w:t xml:space="preserve">Federal Regulations </w:t>
      </w:r>
    </w:p>
    <w:p w:rsidR="006C4831" w:rsidRPr="00337913" w:rsidRDefault="006C4831" w:rsidP="006C4831">
      <w:pPr>
        <w:pStyle w:val="Heading4"/>
      </w:pPr>
      <w:r w:rsidRPr="00337913">
        <w:t xml:space="preserve">Clean Water Act (CWA) </w:t>
      </w:r>
    </w:p>
    <w:p w:rsidR="006C4831" w:rsidRPr="00337913" w:rsidRDefault="006C4831" w:rsidP="006C4831">
      <w:r w:rsidRPr="00337913">
        <w:t xml:space="preserve">The CWA, initially passed in 1972, regulates the discharge of pollutants into watersheds throughout the nation. Section 402(p) of the act establishes a framework for regulating municipal and industrial stormwater discharges under the National Pollutant Discharge Elimination System (NPDES) Program. Section 402(p) requires that stormwater associated with industrial activity that discharges either directly to surface waters or indirectly through municipal separate storm sewers must be regulated by an NPDES permit. </w:t>
      </w:r>
    </w:p>
    <w:p w:rsidR="006C4831" w:rsidRPr="00337913" w:rsidRDefault="006C4831" w:rsidP="006C4831">
      <w:r w:rsidRPr="00337913">
        <w:t xml:space="preserve">The State Water Resources Control Board (SWRCB) is responsible for implementing the Clean Water Act and does so through issuing NPDES permits to cities and counties through regional water quality control boards. Federal regulations allow </w:t>
      </w:r>
      <w:r w:rsidRPr="00245684">
        <w:t xml:space="preserve">two permitting options for storm water discharges (individual permits and general permits). The SWRCB elected to adopt a statewide general permit (Water Quality Order No. 2003-0005-DWQ) for small </w:t>
      </w:r>
      <w:r w:rsidRPr="00245684">
        <w:rPr>
          <w:rFonts w:cs="Arial"/>
        </w:rPr>
        <w:t>Municipal Separate Storm Sewer Systems (</w:t>
      </w:r>
      <w:r w:rsidRPr="00245684">
        <w:t>MS4s) covered under the CWA to efficiently</w:t>
      </w:r>
      <w:r w:rsidRPr="00337913">
        <w:t xml:space="preserve"> regulate numerous storm water discharges under a single permit. Permittees must meet the requirements in Provision D of the General Permit, which require the development and implementation of a Storm Water Management Plan (SWMP) with the goal of reducing the discharge of pollutants to the maximum extent practicable. The SWMP must include the following six minimum control measures: </w:t>
      </w:r>
    </w:p>
    <w:p w:rsidR="006C4831" w:rsidRPr="00337913" w:rsidRDefault="006C4831" w:rsidP="006C4831">
      <w:pPr>
        <w:numPr>
          <w:ilvl w:val="0"/>
          <w:numId w:val="4"/>
        </w:numPr>
        <w:spacing w:after="120" w:line="240" w:lineRule="auto"/>
      </w:pPr>
      <w:r w:rsidRPr="00337913">
        <w:t xml:space="preserve">Public Education and Outreach on Storm Water Impacts </w:t>
      </w:r>
    </w:p>
    <w:p w:rsidR="006C4831" w:rsidRPr="00337913" w:rsidRDefault="006C4831" w:rsidP="006C4831">
      <w:pPr>
        <w:numPr>
          <w:ilvl w:val="0"/>
          <w:numId w:val="4"/>
        </w:numPr>
        <w:spacing w:after="120" w:line="240" w:lineRule="auto"/>
      </w:pPr>
      <w:r w:rsidRPr="00337913">
        <w:t xml:space="preserve">Public Involvement/Participation </w:t>
      </w:r>
    </w:p>
    <w:p w:rsidR="006C4831" w:rsidRPr="00337913" w:rsidRDefault="006C4831" w:rsidP="006C4831">
      <w:pPr>
        <w:numPr>
          <w:ilvl w:val="0"/>
          <w:numId w:val="4"/>
        </w:numPr>
        <w:spacing w:after="120" w:line="240" w:lineRule="auto"/>
      </w:pPr>
      <w:r w:rsidRPr="00337913">
        <w:t xml:space="preserve">Illicit Discharge Detection and Elimination </w:t>
      </w:r>
    </w:p>
    <w:p w:rsidR="006C4831" w:rsidRPr="00337913" w:rsidRDefault="006C4831" w:rsidP="006C4831">
      <w:pPr>
        <w:numPr>
          <w:ilvl w:val="0"/>
          <w:numId w:val="4"/>
        </w:numPr>
        <w:spacing w:after="120" w:line="240" w:lineRule="auto"/>
      </w:pPr>
      <w:r w:rsidRPr="00337913">
        <w:t xml:space="preserve">Construction Site Storm Water Runoff Control </w:t>
      </w:r>
    </w:p>
    <w:p w:rsidR="006C4831" w:rsidRPr="00337913" w:rsidRDefault="006C4831" w:rsidP="006C4831">
      <w:pPr>
        <w:numPr>
          <w:ilvl w:val="0"/>
          <w:numId w:val="4"/>
        </w:numPr>
        <w:spacing w:after="120" w:line="240" w:lineRule="auto"/>
      </w:pPr>
      <w:r w:rsidRPr="00337913">
        <w:t xml:space="preserve">Post-Construction Storm Water Management in New Development </w:t>
      </w:r>
    </w:p>
    <w:p w:rsidR="006C4831" w:rsidRDefault="006C4831" w:rsidP="006C4831">
      <w:pPr>
        <w:numPr>
          <w:ilvl w:val="0"/>
          <w:numId w:val="4"/>
        </w:numPr>
        <w:spacing w:line="240" w:lineRule="auto"/>
      </w:pPr>
      <w:r w:rsidRPr="00337913">
        <w:lastRenderedPageBreak/>
        <w:t xml:space="preserve">Redevelopment and Pollution Prevention/Good Housekeeping for Municipal Operations </w:t>
      </w:r>
    </w:p>
    <w:p w:rsidR="006C4831" w:rsidRPr="00337913" w:rsidRDefault="006C4831" w:rsidP="006C4831">
      <w:pPr>
        <w:spacing w:line="240" w:lineRule="auto"/>
      </w:pPr>
      <w:r>
        <w:t xml:space="preserve">Cotati was previously covered under the statewide general permit </w:t>
      </w:r>
      <w:r w:rsidRPr="00245684">
        <w:t>(Water Quality Order No. 2003-0005-DWQ)</w:t>
      </w:r>
      <w:r>
        <w:t>, but has since joined with other permittees in the Santa Rosa Plain under a Phase I NPDES permit (Water Quality Order No. R1-</w:t>
      </w:r>
      <w:r w:rsidR="00AA34FF">
        <w:t>2009-0050</w:t>
      </w:r>
      <w:r>
        <w:t xml:space="preserve">) (NPDES No. CA0025054).  </w:t>
      </w:r>
    </w:p>
    <w:p w:rsidR="006C4831" w:rsidRPr="00337913" w:rsidRDefault="006C4831" w:rsidP="006C4831">
      <w:pPr>
        <w:pStyle w:val="Heading4"/>
      </w:pPr>
      <w:r w:rsidRPr="00337913">
        <w:t xml:space="preserve">Federal Emergency Management Agency (FEMA) </w:t>
      </w:r>
    </w:p>
    <w:p w:rsidR="006C4831" w:rsidRPr="00337913" w:rsidRDefault="006C4831" w:rsidP="006C4831">
      <w:r w:rsidRPr="00337913">
        <w:t>FEMA operates the National Flood Insurance Program (NFIP).  Participants in the NFIP must satisfy certain mandated floodplain management criteria.  The National Flood Insurance Act of 1968 has adopted as a desired level of protection, an expectation that developments should be protected from floodwater damage of the Intermediate Regional Flood (IRF).  The IRF is defined as a flood that has an average frequency of occurrence on the order of once in 100 years, although such a flood may occur in any given year.  Communities are occasionally audited by the Department of Water Resources to insure the proper implementation of FEMA floodplain management regulations.</w:t>
      </w:r>
    </w:p>
    <w:p w:rsidR="006C4831" w:rsidRPr="00337913" w:rsidRDefault="006C4831" w:rsidP="006C4831">
      <w:pPr>
        <w:pStyle w:val="Heading4"/>
      </w:pPr>
      <w:r w:rsidRPr="00337913">
        <w:t>Flood Disaster Protection Act (FDPA)</w:t>
      </w:r>
    </w:p>
    <w:p w:rsidR="006C4831" w:rsidRPr="00337913" w:rsidRDefault="006C4831" w:rsidP="006C4831">
      <w:r w:rsidRPr="00337913">
        <w:t>The FDPA of 1973 was a response to the shortcomings of the NFIP, which were experienced during the flood season of 1972. The FDPA prohibited federal assistance, including acquisition, construction and financial assistance, within delineated floodplains in non-participating NFIP communities. Furthermore, all federal agencies and/or federally insured and federally regulated lenders must require flood insurance for all acquisitions or developments in designated Special Flood Hazard Areas (SFHAs) in communities that participate in the NFIP.</w:t>
      </w:r>
    </w:p>
    <w:p w:rsidR="006C4831" w:rsidRPr="00337913" w:rsidRDefault="006C4831" w:rsidP="006C4831">
      <w:r w:rsidRPr="00337913">
        <w:t>Improvements, construction and developments within S</w:t>
      </w:r>
      <w:r>
        <w:t>F</w:t>
      </w:r>
      <w:r w:rsidRPr="00337913">
        <w:t xml:space="preserve">HAs are generally subject to the following standards: </w:t>
      </w:r>
    </w:p>
    <w:p w:rsidR="006C4831" w:rsidRPr="00337913" w:rsidRDefault="006C4831" w:rsidP="006C4831">
      <w:pPr>
        <w:numPr>
          <w:ilvl w:val="0"/>
          <w:numId w:val="7"/>
        </w:numPr>
        <w:spacing w:after="120" w:line="240" w:lineRule="auto"/>
      </w:pPr>
      <w:r w:rsidRPr="00337913">
        <w:t>All new construction and substantial improvements of residential buildings must have the lowest floor (including basement) elevated to or above the BFE.</w:t>
      </w:r>
    </w:p>
    <w:p w:rsidR="006C4831" w:rsidRPr="00337913" w:rsidRDefault="006C4831" w:rsidP="006C4831">
      <w:pPr>
        <w:numPr>
          <w:ilvl w:val="0"/>
          <w:numId w:val="7"/>
        </w:numPr>
        <w:spacing w:after="120" w:line="240" w:lineRule="auto"/>
      </w:pPr>
      <w:r w:rsidRPr="00337913">
        <w:t>All new construction and substantial improvements of non-residential buildings must either have the lowest floor (including basement) elevated to or above the BFE or dry-floodproofed to the BFE</w:t>
      </w:r>
    </w:p>
    <w:p w:rsidR="006C4831" w:rsidRPr="00337913" w:rsidRDefault="006C4831" w:rsidP="006C4831">
      <w:pPr>
        <w:numPr>
          <w:ilvl w:val="0"/>
          <w:numId w:val="7"/>
        </w:numPr>
        <w:spacing w:after="120" w:line="240" w:lineRule="auto"/>
      </w:pPr>
      <w:r w:rsidRPr="00337913">
        <w:t>Buildings can be elevated to or above the BFE using fill, or they can be elevated on extended foundation walls or other enclosure walls, on piles, or on columns</w:t>
      </w:r>
    </w:p>
    <w:p w:rsidR="006C4831" w:rsidRPr="00337913" w:rsidRDefault="006C4831" w:rsidP="006C4831">
      <w:pPr>
        <w:numPr>
          <w:ilvl w:val="0"/>
          <w:numId w:val="7"/>
        </w:numPr>
        <w:spacing w:line="240" w:lineRule="auto"/>
      </w:pPr>
      <w:r w:rsidRPr="00337913">
        <w:t xml:space="preserve">Extended foundation or other enclosure walls must be designed and constructed to withstand hydrostatic pressure and be constructed with flood-resistant materials and contain openings that will permit the automatic entry and exit of floodwaters. Any enclosed area below the BFE can only be used for the parking of vehicles, building access, or storage. </w:t>
      </w:r>
    </w:p>
    <w:p w:rsidR="006C4831" w:rsidRPr="00337913" w:rsidRDefault="001A5891" w:rsidP="006C4831">
      <w:pPr>
        <w:pStyle w:val="Heading4"/>
      </w:pPr>
      <w:r>
        <w:br w:type="page"/>
      </w:r>
      <w:r w:rsidR="006C4831" w:rsidRPr="00337913">
        <w:lastRenderedPageBreak/>
        <w:t>National Flood Insurance Program (NFIP)</w:t>
      </w:r>
    </w:p>
    <w:p w:rsidR="006C4831" w:rsidRPr="00337913" w:rsidRDefault="006C4831" w:rsidP="006C4831">
      <w:pPr>
        <w:rPr>
          <w:i/>
        </w:rPr>
      </w:pPr>
      <w:r w:rsidRPr="00337913">
        <w:t xml:space="preserve">Per the National Flood Insurance Act of 1968, the NFIP has three fundamental purposes: </w:t>
      </w:r>
      <w:r w:rsidRPr="00337913">
        <w:rPr>
          <w:i/>
        </w:rPr>
        <w:t>Better indemnify individuals for flood losses through insurance; Reduce future flood damages through State and community floodplain management regulations; and Reduce Federal expenditures for disaster assistance and flood control.</w:t>
      </w:r>
    </w:p>
    <w:p w:rsidR="006C4831" w:rsidRPr="00337913" w:rsidRDefault="006C4831" w:rsidP="006C4831">
      <w:r w:rsidRPr="00337913">
        <w:t>While the Act provided for subsidized flood insurance for existing structures, the provision of flood insurance by FEMA became contingent on the adoption of floodplain regulations at the local level.</w:t>
      </w:r>
    </w:p>
    <w:p w:rsidR="006C4831" w:rsidRPr="00337913" w:rsidRDefault="006C4831" w:rsidP="006C4831">
      <w:pPr>
        <w:pStyle w:val="Heading4"/>
      </w:pPr>
      <w:r w:rsidRPr="00337913">
        <w:t xml:space="preserve">National Pollutant Discharge Elimination System (NPDES) </w:t>
      </w:r>
    </w:p>
    <w:p w:rsidR="006C4831" w:rsidRPr="00337913" w:rsidRDefault="006C4831" w:rsidP="006C4831">
      <w:r w:rsidRPr="00337913">
        <w:t xml:space="preserve">National Pollutant Discharge Elimination System (NPDES) permits are required for discharges of pollutants to navigable waters of the United States, which includes any discharge to surface waters, including lakes, rivers, streams, bays, the ocean, dry stream beds, wetlands, and storm sewers that are tributary to any surface water body. NPDES permits are issued under the Federal Clean Water Act, Title IV, Permits and Licenses, Section 402 (33 USC 466 et seq.) </w:t>
      </w:r>
    </w:p>
    <w:p w:rsidR="006C4831" w:rsidRPr="00337913" w:rsidRDefault="006C4831" w:rsidP="006C4831">
      <w:r w:rsidRPr="00337913">
        <w:t xml:space="preserve">The RWQCB issues these permits in lieu of direct issuance by the Environmental Protection Agency, subject to review and approval by the EPA Regional Administrator (EPA Region 9). The terms of these NPDES permits implement pertinent provisions of the Federal Clean Water Act and the Act’s implementing regulations, including pre-treatment, sludge management, effluent limitations for specific industries, and anti- degradation. In general, the discharge of pollutants is to be eliminated or reduced as much as practicable so as to achieve the Clean Water Act’s goal of “fishable and swimmable” navigable (surface) waters. Technically, all NPDES permits issued by the RWQCB are also Waste Discharge Requirements issued under the authority of the </w:t>
      </w:r>
      <w:r>
        <w:t>California Water Code (</w:t>
      </w:r>
      <w:r w:rsidRPr="00337913">
        <w:t>CWC</w:t>
      </w:r>
      <w:r>
        <w:t>)</w:t>
      </w:r>
      <w:r w:rsidRPr="00337913">
        <w:t xml:space="preserve">. </w:t>
      </w:r>
    </w:p>
    <w:p w:rsidR="006C4831" w:rsidRPr="00337913" w:rsidRDefault="006C4831" w:rsidP="006C4831">
      <w:r w:rsidRPr="00337913">
        <w:t xml:space="preserve">These NPDES permits regulate discharges from publicly owned treatment works, industrial discharges, stormwater runoff, dewatering operations, and </w:t>
      </w:r>
      <w:r>
        <w:t>surface water discharges of groundwater pumped as part of groundwater cleanup activities</w:t>
      </w:r>
      <w:r w:rsidRPr="00337913">
        <w:t>. NPDES permits are issued for five years or less, and are therefore to be updated regularly. To expedite the permit issuance process, the RWQCB has adopted several general NPDES permits, each of which regulates numerous discharges of similar types of wastes. The SWRCB has issues general permits for stormwater runoff from construction sites statewide. Stormwater discharges from industrial and construction activities in the North Coast Region can be covered under these general permits, which are administered jointly by the SWRCB and RWQCB.</w:t>
      </w:r>
    </w:p>
    <w:p w:rsidR="006C4831" w:rsidRPr="00337913" w:rsidRDefault="006C4831" w:rsidP="006C4831">
      <w:pPr>
        <w:pStyle w:val="Heading4"/>
      </w:pPr>
      <w:r w:rsidRPr="00337913">
        <w:t>Rivers and Harbors Appropriation Act of 1899</w:t>
      </w:r>
    </w:p>
    <w:p w:rsidR="006C4831" w:rsidRPr="00337913" w:rsidRDefault="006C4831" w:rsidP="006C4831">
      <w:r w:rsidRPr="00337913">
        <w:t>One of the country’s first environmental laws, this Act established a regulatory program to address activities that could affect navigation in Waters of the United States.</w:t>
      </w:r>
    </w:p>
    <w:p w:rsidR="006C4831" w:rsidRPr="00337913" w:rsidRDefault="006C4831" w:rsidP="006C4831">
      <w:pPr>
        <w:pStyle w:val="Heading3"/>
      </w:pPr>
      <w:r w:rsidRPr="00337913">
        <w:lastRenderedPageBreak/>
        <w:t xml:space="preserve">State Regulations </w:t>
      </w:r>
    </w:p>
    <w:p w:rsidR="006C4831" w:rsidRPr="00337913" w:rsidRDefault="006C4831" w:rsidP="006C4831">
      <w:pPr>
        <w:pStyle w:val="Heading4"/>
      </w:pPr>
      <w:r w:rsidRPr="00337913">
        <w:t>California Code of Regulations</w:t>
      </w:r>
    </w:p>
    <w:p w:rsidR="006C4831" w:rsidRPr="00337913" w:rsidRDefault="006C4831" w:rsidP="006C4831">
      <w:r w:rsidRPr="00337913">
        <w:t xml:space="preserve">California Code of Regulations (CCR) Title 22, Chapter 15, Article 20 requires all public water systems to prepare a Consumer Confidence Report for distribution to its customers and to the Department of Health Services. The Consumer Confidence Report provides information regarding the quality of potable water provided by the water system. It includes information on the sources of the water, any detected contaminants in the water, the maximum contaminants levels set by regulation, violations and actions taken to correct them, and opportunities for public participation in decisions that may affect the quality of the water provided. </w:t>
      </w:r>
    </w:p>
    <w:p w:rsidR="006C4831" w:rsidRPr="00337913" w:rsidRDefault="006C4831" w:rsidP="006C4831">
      <w:pPr>
        <w:pStyle w:val="Heading4"/>
      </w:pPr>
      <w:r w:rsidRPr="00337913">
        <w:t>California Department of Health Services</w:t>
      </w:r>
    </w:p>
    <w:p w:rsidR="006C4831" w:rsidRPr="00337913" w:rsidRDefault="006C4831" w:rsidP="006C4831">
      <w:r w:rsidRPr="00337913">
        <w:t>The Department of Health Services, Division of Drinking Water and Environmental Management, oversees the Drinking Water Program. The Drinking Water Program regulates public water systems and certifies drinking water treatment and distribution operators. It provides support for small water systems and for improving their technical, managerial, and financial capacity. It provides subsidized funding for water system improvements under the State Revolving Fund (“SRF”) and Proposition 50 programs. The Drinking Water Program also oversees water recycling projects, permits water treatment devices, supports and promotes water system security, and oversees the Drinking Water Treatment and Research Fund for MTBE and other oxygenates.</w:t>
      </w:r>
    </w:p>
    <w:p w:rsidR="006C4831" w:rsidRPr="00337913" w:rsidRDefault="006C4831" w:rsidP="006C4831">
      <w:pPr>
        <w:pStyle w:val="Heading4"/>
      </w:pPr>
      <w:r w:rsidRPr="00337913">
        <w:t xml:space="preserve">California Water Code </w:t>
      </w:r>
    </w:p>
    <w:p w:rsidR="006C4831" w:rsidRPr="00337913" w:rsidRDefault="006C4831" w:rsidP="006C4831">
      <w:r w:rsidRPr="00337913">
        <w:t xml:space="preserve">California’s primary statute governing water quality and water pollution issues with respect to both surface waters and groundwater is the Porter-Cologne Water Quality Control Act of 1970 (Division 7 of the California Water Code) (Porter-Cologne Act). The Porter-Cologne Act grants the SWRCB and each of the Regional Water Quality Control Boards (RWQCBs) power to protect water quality, and is the primary vehicle for implementation of California’s responsibilities under the Federal Clean Water Act. The Porter-Cologne Act grants the SWRCB and the RWQCBs authority and responsibility to adopt plans and policies, to regulate discharges to surface and groundwater, to regulate waste disposal sites and to require cleanup of discharges of hazardous materials and other pollutants. The Porter-Cologne Act also establishes reporting requirements for unintended discharges of any hazardous substance, sewage, or oil or petroleum product. </w:t>
      </w:r>
    </w:p>
    <w:p w:rsidR="006C4831" w:rsidRPr="00337913" w:rsidRDefault="006C4831" w:rsidP="006C4831">
      <w:r w:rsidRPr="00337913">
        <w:t>Each RWQCB must formulate and adopt a Water Quality Control Plan (Basin Plan) for its region. The regional plans are to conform to the policies set forth in the Porter-Cologne Act and established by the SWRCB in its State water policy. The Porter-Cologne Act also provides that a RWQCB may include within its regional plan water discharge prohibitions applicable to particular conditions, areas, or types of waste.</w:t>
      </w:r>
    </w:p>
    <w:p w:rsidR="006C4831" w:rsidRPr="00337913" w:rsidRDefault="006C4831" w:rsidP="006C4831">
      <w:pPr>
        <w:pStyle w:val="Heading4"/>
      </w:pPr>
      <w:r w:rsidRPr="00337913">
        <w:t xml:space="preserve">Water Quality Control Plan for the </w:t>
      </w:r>
      <w:r>
        <w:t>North Coast</w:t>
      </w:r>
      <w:r w:rsidRPr="00337913">
        <w:t xml:space="preserve"> Region </w:t>
      </w:r>
    </w:p>
    <w:p w:rsidR="006C4831" w:rsidRPr="00337913" w:rsidRDefault="006C4831" w:rsidP="006C4831">
      <w:r w:rsidRPr="00337913">
        <w:t xml:space="preserve">The Water Quality Control Plan for the North Coast Region (Basin Plan) includes a summary of beneficial water uses, water quality objectives needed to protect the identified beneficial uses, and implementation measures. The Basin Plan establishes water quality standards for all the </w:t>
      </w:r>
      <w:r w:rsidRPr="00337913">
        <w:lastRenderedPageBreak/>
        <w:t xml:space="preserve">ground and surface waters of the region. The term “water quality standards,” as used in the Federal Clean Water Act, includes both the beneficial uses of specific water bodies and the levels of quality that must be met and maintained to protect those uses. The Basin Plan includes an implementation plan describing the actions by the RWQCB and others that are necessary to achieve and maintain the water quality standards. </w:t>
      </w:r>
    </w:p>
    <w:p w:rsidR="006C4831" w:rsidRPr="00337913" w:rsidRDefault="006C4831" w:rsidP="006C4831">
      <w:r w:rsidRPr="00337913">
        <w:t>The RWQCB regulates waste discharges to minimize and control their effects on the quality of the region’s ground and surface water. Permits are issued under a number of programs and authorities. The terms and conditions of these discharge permits are enforced through a variety of technical, administrative, and legal means. Water quality problems in the region are listed in the Basin Plan, along with the causes, where they are known. For water bodies with quality below the levels necessary to allow all the beneficial uses of the water to be met, plans for improving water quality are included. The Basin Plan reflects, incorporates, and implements applicable portions of a number of national and statewide water quality plans and policies, including the California Water Code and the Clean Water Act.</w:t>
      </w:r>
    </w:p>
    <w:p w:rsidR="006C4831" w:rsidRPr="00337913" w:rsidRDefault="006C4831" w:rsidP="006C4831">
      <w:pPr>
        <w:pStyle w:val="Heading4"/>
      </w:pPr>
      <w:r w:rsidRPr="00337913">
        <w:t>Urban Water Management Planning Act</w:t>
      </w:r>
    </w:p>
    <w:p w:rsidR="006C4831" w:rsidRPr="00337913" w:rsidRDefault="006C4831" w:rsidP="006C4831">
      <w:r w:rsidRPr="00337913">
        <w:t>The Urban Water Management Planning Act has as its objectives the management of urban water demands and the efficient use of urban water. Under its provisions, every urban water supplier is required to prepare and adopt an urban water management plan. An “urban water supplier” is a public or private water supplier that provides water for municipal purposes either directly or indirectly to more than 3,000 customers or supplying more than 3,000 acre-feet of water annually. The plan must identify and quantify the existing and planned sources of water available to the supplier, quantify the projected water use for a period of 20 years, and describe the supplier’s water demand management measures. The urban water supplier should make every effort to ensure the appropriate level of reliability in its water service sufficient to meet the needs of its various categories of customers during normal, dry, and multiple dry years. The Department of Water Resources must receive a copy of an adopted urban water management plan.</w:t>
      </w:r>
    </w:p>
    <w:p w:rsidR="006C4831" w:rsidRPr="00337913" w:rsidRDefault="006C4831" w:rsidP="006C4831">
      <w:pPr>
        <w:pStyle w:val="Heading3"/>
      </w:pPr>
      <w:r w:rsidRPr="00337913">
        <w:t>Local Regulations</w:t>
      </w:r>
    </w:p>
    <w:p w:rsidR="006C4831" w:rsidRPr="00337913" w:rsidRDefault="006C4831" w:rsidP="006C4831">
      <w:pPr>
        <w:pStyle w:val="Heading4"/>
      </w:pPr>
      <w:r w:rsidRPr="00337913">
        <w:t>Sonoma County Water Agency</w:t>
      </w:r>
    </w:p>
    <w:p w:rsidR="006C4831" w:rsidRPr="00337913" w:rsidRDefault="006C4831" w:rsidP="006C4831">
      <w:r w:rsidRPr="00337913">
        <w:rPr>
          <w:szCs w:val="26"/>
        </w:rPr>
        <w:t>Sonoma County Water Agency</w:t>
      </w:r>
      <w:r w:rsidRPr="00337913">
        <w:t xml:space="preserve"> was created as a special district in 1949 by the California Legislature to provide flood protection and water supply services. The Sonoma County Water Agency currently manages and maintains a water transmission system that provides naturally filtered Russian River water to nine cities and special districts that in turn delivers drinking water to more than 600,000 residents in portions of Sonoma and Marin counties. </w:t>
      </w:r>
    </w:p>
    <w:p w:rsidR="006C4831" w:rsidRPr="00337913" w:rsidRDefault="006C4831" w:rsidP="006C4831">
      <w:r w:rsidRPr="00337913">
        <w:t>The Sonoma County Water Agency is responsible for providing flood protection to much of Sonoma County. They have partnered with federal agencies to build and manage a variety of flood protection projects, including Warm Springs Dam, Spring Lake, Coyote Valley Dam, Matanzas Creek Reservoir, Piner Creek Reservoir, Brush Creek Middle Fork Reservoir and Spring Creek Reservoir. They also manage a proactive stream maintenance program that maintains more than 80 miles of creeks throughout the County.</w:t>
      </w:r>
    </w:p>
    <w:p w:rsidR="006C4831" w:rsidRPr="001905BF" w:rsidRDefault="006C4831" w:rsidP="006C4831">
      <w:r w:rsidRPr="00337913">
        <w:lastRenderedPageBreak/>
        <w:t>In 1995 the Sonoma County Water Agency assumed responsibility from the County of Sonoma for managing the county sanitation zones and districts, which provide wastewater collection and treatment, and recycled water distribution and disposal services for approximately 22,000 residences and businesses. The zones include Airport/Larkfield/Wikiup, Geyserville, Penngrove and Sea Ranch. The sanitation districts include the Occidental, Russian River, Sonoma Valley, and South Park County Sanitation Districts. (Sonoma County Water Agency, 2011).</w:t>
      </w:r>
    </w:p>
    <w:p w:rsidR="006C4831" w:rsidRPr="00337913" w:rsidRDefault="006C4831" w:rsidP="006C4831">
      <w:pPr>
        <w:pStyle w:val="Heading2"/>
      </w:pPr>
      <w:r w:rsidRPr="00337913">
        <w:t>3.</w:t>
      </w:r>
      <w:r>
        <w:t>3.8</w:t>
      </w:r>
      <w:r w:rsidRPr="00337913">
        <w:t xml:space="preserve"> Impacts and Mitigation Measures</w:t>
      </w:r>
    </w:p>
    <w:p w:rsidR="006C4831" w:rsidRPr="00337913" w:rsidRDefault="006C4831" w:rsidP="006C4831">
      <w:pPr>
        <w:pStyle w:val="Heading3"/>
      </w:pPr>
      <w:r w:rsidRPr="00337913">
        <w:t>Thresholds of Significance</w:t>
      </w:r>
    </w:p>
    <w:p w:rsidR="006C4831" w:rsidRPr="00337913" w:rsidRDefault="006C4831" w:rsidP="006C4831">
      <w:r w:rsidRPr="00337913">
        <w:t>Consistent with Appendix G of the CEQA Guidelines, the proposed project will have a significant impact on the environment associated with hydrology and water quality if it will:</w:t>
      </w:r>
    </w:p>
    <w:p w:rsidR="006C4831" w:rsidRPr="00337913" w:rsidRDefault="006C4831" w:rsidP="006C4831">
      <w:pPr>
        <w:pStyle w:val="ListBullet"/>
        <w:numPr>
          <w:ilvl w:val="0"/>
          <w:numId w:val="3"/>
        </w:numPr>
      </w:pPr>
      <w:r w:rsidRPr="00337913">
        <w:t xml:space="preserve">Violate any water quality standards or waste discharge requirements; </w:t>
      </w:r>
    </w:p>
    <w:p w:rsidR="006C4831" w:rsidRPr="00337913" w:rsidRDefault="006C4831" w:rsidP="006C4831">
      <w:pPr>
        <w:pStyle w:val="ListBullet"/>
        <w:numPr>
          <w:ilvl w:val="0"/>
          <w:numId w:val="3"/>
        </w:numPr>
      </w:pPr>
      <w:r w:rsidRPr="00337913">
        <w:t xml:space="preserve">Substantially deplete groundwater supplies or interfere substantially with groundwater recharge such that there would be a net deficit in aquifer volume or a lowering of the local groundwater table level (e.g., the production rate of preexisting nearby wells would drop to a level that would not support existing land uses or planned uses for which permits have been granted; </w:t>
      </w:r>
    </w:p>
    <w:p w:rsidR="006C4831" w:rsidRPr="00337913" w:rsidRDefault="006C4831" w:rsidP="006C4831">
      <w:pPr>
        <w:pStyle w:val="ListBullet"/>
        <w:numPr>
          <w:ilvl w:val="0"/>
          <w:numId w:val="3"/>
        </w:numPr>
      </w:pPr>
      <w:r w:rsidRPr="00337913">
        <w:t xml:space="preserve">Substantially alter the existing drainage pattern of the site or area, including through the alteration of the course of a stream or river, in a manner that would result in substantial erosion, siltation, run-off or flooding on- or off-site;  </w:t>
      </w:r>
    </w:p>
    <w:p w:rsidR="006C4831" w:rsidRPr="00337913" w:rsidRDefault="006C4831" w:rsidP="006C4831">
      <w:pPr>
        <w:pStyle w:val="ListBullet"/>
        <w:numPr>
          <w:ilvl w:val="0"/>
          <w:numId w:val="3"/>
        </w:numPr>
      </w:pPr>
      <w:r w:rsidRPr="00337913">
        <w:t xml:space="preserve">Substantially alter the existing drainage pattern of the site or area, including through the alteration of the course of a stream or river, substantially increase the rate or amount of surface runoff in a manner that would result in flooding on- or off-site; </w:t>
      </w:r>
    </w:p>
    <w:p w:rsidR="006C4831" w:rsidRPr="00337913" w:rsidRDefault="006C4831" w:rsidP="006C4831">
      <w:pPr>
        <w:pStyle w:val="ListBullet"/>
        <w:numPr>
          <w:ilvl w:val="0"/>
          <w:numId w:val="3"/>
        </w:numPr>
      </w:pPr>
      <w:r w:rsidRPr="00337913">
        <w:t>Create or contribute runoff water which would exceed the capacity of existing or planned stormwater drainage systems or provide substantial additional sources of polluted runoff;</w:t>
      </w:r>
    </w:p>
    <w:p w:rsidR="006C4831" w:rsidRPr="00337913" w:rsidRDefault="006C4831" w:rsidP="006C4831">
      <w:pPr>
        <w:pStyle w:val="ListBullet"/>
        <w:numPr>
          <w:ilvl w:val="0"/>
          <w:numId w:val="3"/>
        </w:numPr>
      </w:pPr>
      <w:r w:rsidRPr="00337913">
        <w:t xml:space="preserve">Otherwise substantially degrade water quality; </w:t>
      </w:r>
    </w:p>
    <w:p w:rsidR="006C4831" w:rsidRPr="00337913" w:rsidRDefault="006C4831" w:rsidP="006C4831">
      <w:pPr>
        <w:pStyle w:val="ListBullet"/>
      </w:pPr>
      <w:r w:rsidRPr="00337913">
        <w:t>Require or result in the construction of new storm water drainage facilities or expansion of existing facilities, the construction of which could cause significant environmental effects.</w:t>
      </w:r>
    </w:p>
    <w:p w:rsidR="006C4831" w:rsidRPr="00337913" w:rsidRDefault="006C4831" w:rsidP="006C4831">
      <w:pPr>
        <w:pStyle w:val="ListBullet"/>
        <w:numPr>
          <w:ilvl w:val="0"/>
          <w:numId w:val="3"/>
        </w:numPr>
      </w:pPr>
      <w:r w:rsidRPr="00337913">
        <w:t xml:space="preserve">Place housing within a 100-year flood hazard area as mapped on a federal Flood Hazard Boundary or Flood Insurance Rate Map or other flood hazard delineation map; </w:t>
      </w:r>
    </w:p>
    <w:p w:rsidR="006C4831" w:rsidRPr="00337913" w:rsidRDefault="006C4831" w:rsidP="006C4831">
      <w:pPr>
        <w:pStyle w:val="ListBullet"/>
        <w:numPr>
          <w:ilvl w:val="0"/>
          <w:numId w:val="3"/>
        </w:numPr>
      </w:pPr>
      <w:r w:rsidRPr="00337913">
        <w:t xml:space="preserve">Place within a 100-year flood hazard area structures that would impede or redirect flood flows; </w:t>
      </w:r>
    </w:p>
    <w:p w:rsidR="006C4831" w:rsidRPr="00337913" w:rsidRDefault="006C4831" w:rsidP="006C4831">
      <w:pPr>
        <w:pStyle w:val="ListBullet"/>
        <w:numPr>
          <w:ilvl w:val="0"/>
          <w:numId w:val="3"/>
        </w:numPr>
      </w:pPr>
      <w:r w:rsidRPr="00337913">
        <w:t xml:space="preserve">Expose people or structures to significant risk of loss, injury or death involving flooding, including flooding as a result of the failure of a levee or dam; or </w:t>
      </w:r>
    </w:p>
    <w:p w:rsidR="006C4831" w:rsidRPr="00337913" w:rsidRDefault="006C4831" w:rsidP="006C4831">
      <w:pPr>
        <w:pStyle w:val="ListBullet"/>
        <w:numPr>
          <w:ilvl w:val="0"/>
          <w:numId w:val="3"/>
        </w:numPr>
      </w:pPr>
      <w:r w:rsidRPr="00337913">
        <w:t>Result in inundation by seiche, tsunami or mudflow.</w:t>
      </w:r>
    </w:p>
    <w:p w:rsidR="006C4831" w:rsidRPr="00CA5FD5" w:rsidRDefault="006C4831" w:rsidP="006C4831">
      <w:pPr>
        <w:pStyle w:val="Heading3"/>
      </w:pPr>
      <w:r w:rsidRPr="00CA5FD5">
        <w:lastRenderedPageBreak/>
        <w:t>Impacts and Mitigation</w:t>
      </w:r>
    </w:p>
    <w:p w:rsidR="006C4831" w:rsidRPr="00CA5FD5" w:rsidRDefault="006C4831" w:rsidP="006C4831">
      <w:pPr>
        <w:pStyle w:val="Heading4"/>
      </w:pPr>
      <w:r w:rsidRPr="00CA5FD5">
        <w:t xml:space="preserve">Impact </w:t>
      </w:r>
      <w:r>
        <w:t>3.8</w:t>
      </w:r>
      <w:r w:rsidRPr="00CA5FD5">
        <w:t>-1: General Plan implementation could result in a violation of water quality standards or waste discharge requirements (Less than Significant)</w:t>
      </w:r>
    </w:p>
    <w:p w:rsidR="006C4831" w:rsidRPr="00CA5FD5" w:rsidRDefault="006C4831" w:rsidP="006C4831">
      <w:r w:rsidRPr="00CA5FD5">
        <w:rPr>
          <w:b/>
          <w:i/>
        </w:rPr>
        <w:t>Construction-Related Water Quality Impacts:</w:t>
      </w:r>
      <w:r w:rsidRPr="00CA5FD5">
        <w:t xml:space="preserve"> Grading, excavation, removal of vegetation cover, and loading activities associated with future construction activities could temporarily increase runoff, erosion, and sedimentation. Construction activities also could result in soil compaction and wind erosion effects that could adversely affect soils and reduce the revegetation potential at construction sites and staging areas. </w:t>
      </w:r>
    </w:p>
    <w:p w:rsidR="006C4831" w:rsidRPr="00CA5FD5" w:rsidRDefault="006C4831" w:rsidP="006C4831">
      <w:r w:rsidRPr="00CA5FD5">
        <w:t xml:space="preserve">As required by the Clean Water Act, each subsequent development project or improvement project will require an approved Storm Water Pollution Prevention Plan (SWPPP) that includes best management practices for grading, and preservation of topsoil. A SWPPP is not required if the project will disturb less than one acre. SWPPPs are designed to control storm water quality degradation to the extent practicable using best management practices during and after construction. </w:t>
      </w:r>
    </w:p>
    <w:p w:rsidR="006C4831" w:rsidRPr="00A90A91" w:rsidRDefault="006C4831" w:rsidP="006C4831">
      <w:r w:rsidRPr="00A90A91">
        <w:t xml:space="preserve">Future development project applicants must submit the SWPPP with a Notice of Intent to the Regional Water Quality Control Board (RWQCB) to obtain a General Permit. The RWQCB is an agency responsible for reviewing the SWPPP with the Notice of Intent, prior to issuance of a General Permit for the discharge of storm water during construction activities. The RWQCB accepts General Permit applications (with the SWPPP and Notice of Intent) after specific projects have been approved by the lead agency. </w:t>
      </w:r>
      <w:r>
        <w:t>Project applicants</w:t>
      </w:r>
      <w:r w:rsidRPr="00A90A91">
        <w:t xml:space="preserve"> for each specific project that is larger than one acre </w:t>
      </w:r>
      <w:r>
        <w:t>are</w:t>
      </w:r>
      <w:r w:rsidRPr="00A90A91">
        <w:t xml:space="preserve"> required to obtain a General Permit for discharge of storm water during construction activities prior to commencing construction (per the Clean Water Act). </w:t>
      </w:r>
    </w:p>
    <w:p w:rsidR="006C4831" w:rsidRPr="00A90A91" w:rsidRDefault="006C4831" w:rsidP="006C4831">
      <w:r w:rsidRPr="00A90A91">
        <w:t xml:space="preserve">Based upon the general planning nature of the General Plan, development of detailed, site-specific information on this impact at this planning level is not feasible. However, each future project must include detailed project specific drainage plans that control storm water runoff and erosion, both during and after construction. The Regional Water Quality Control Board will require a project specific Storm Water Pollution Prevention Plan (SWPPP) to be prepared for each future project that disturbs an area one acre or larger. The SWPPPs will include project specific best management measures that are designed to control drainage and erosion. </w:t>
      </w:r>
    </w:p>
    <w:p w:rsidR="006C4831" w:rsidRPr="00CA5FD5" w:rsidRDefault="006C4831" w:rsidP="006C4831">
      <w:r w:rsidRPr="00CA5FD5">
        <w:rPr>
          <w:b/>
          <w:i/>
        </w:rPr>
        <w:t xml:space="preserve">New Development-Related Water Quality Impacts: </w:t>
      </w:r>
      <w:r w:rsidRPr="00CA5FD5">
        <w:t xml:space="preserve">New development under the proposed General Plan </w:t>
      </w:r>
      <w:r>
        <w:t>would add additional areas of impervious surfaces within the Planning Area, which c</w:t>
      </w:r>
      <w:r w:rsidRPr="00CA5FD5">
        <w:t xml:space="preserve">ould introduce constituents into the storm water that are typically associated with urban runoff.  These constituents include sediments, petroleum hydrocarbons, pesticides, fertilizers, and heavy metals such as lead, zinc, and copper.  These pollutants tend to build up during the dry months of the year.  Precipitation during the early portion of the wet season (generally from November to April) washes away most of these pollutants, resulting in high pollutant concentrations in the initial wet weather runoff.  This initial runoff is referred to as the “first flush” of storm events.  Subsequent periods of rain would result in less concentrated pollutant levels in the runoff.  </w:t>
      </w:r>
    </w:p>
    <w:p w:rsidR="006C4831" w:rsidRPr="00CA5FD5" w:rsidRDefault="006C4831" w:rsidP="006C4831">
      <w:r w:rsidRPr="00CA5FD5">
        <w:lastRenderedPageBreak/>
        <w:t>The amount and type of runoff generated by the various future projects would be greater than under existing conditions, due to increases in impervious surfaces</w:t>
      </w:r>
      <w:r>
        <w:t xml:space="preserve"> throughout the Planning Area associated with new development</w:t>
      </w:r>
      <w:r w:rsidRPr="00CA5FD5">
        <w:t xml:space="preserve">.  There would be a corresponding increase in urban runoff pollutants and first flush roadway contaminants, as well as an increase in nutrients and other chemicals from landscaped areas.  These constituents would result in water quality impacts to onsite and offsite drainage flows to area waterways.  </w:t>
      </w:r>
    </w:p>
    <w:p w:rsidR="006C4831" w:rsidRPr="00CA5FD5" w:rsidRDefault="006C4831" w:rsidP="006C4831">
      <w:pPr>
        <w:rPr>
          <w:szCs w:val="24"/>
        </w:rPr>
      </w:pPr>
      <w:r>
        <w:t xml:space="preserve">The General Plan Conservation Element includes numerous policies specifically designed to address water quality. </w:t>
      </w:r>
      <w:r w:rsidRPr="00CA5FD5">
        <w:rPr>
          <w:szCs w:val="24"/>
        </w:rPr>
        <w:t xml:space="preserve">Policy CON 1.8 requires the conservation of </w:t>
      </w:r>
      <w:r w:rsidRPr="00CA5FD5">
        <w:t>riparian habitat along local creeks, including but not limited to the Laguna de Santa Rosa and Cotati Creek, in order to maintain suitable habitat for na</w:t>
      </w:r>
      <w:r>
        <w:t xml:space="preserve">tive fish and plant species. </w:t>
      </w:r>
      <w:r w:rsidRPr="00CA5FD5">
        <w:rPr>
          <w:szCs w:val="24"/>
        </w:rPr>
        <w:t xml:space="preserve">Policy CON 1.9 requires protection and enhancement of </w:t>
      </w:r>
      <w:r w:rsidRPr="00CA5FD5">
        <w:t xml:space="preserve">streams, channels, seasonal and permanent marshland, wetlands, sloughs, riparian habitat, and vernal pools through sound land use planning, community design, and site planning.  </w:t>
      </w:r>
      <w:r w:rsidRPr="00CA5FD5">
        <w:rPr>
          <w:szCs w:val="24"/>
        </w:rPr>
        <w:t>Policy CON 1.10 requires the City to s</w:t>
      </w:r>
      <w:r w:rsidRPr="00CA5FD5">
        <w:t>upport rehabilitation of existing channelized waterways, as feasible, to remove concrete linings and allow for a connection with the stream channel and the natural water table. It also requires the City to avoid creating additional channelized waterways, unless no other alternative is available to protect human health, safety, and welfare.</w:t>
      </w:r>
      <w:r>
        <w:t xml:space="preserve"> </w:t>
      </w:r>
      <w:r w:rsidRPr="00CA5FD5">
        <w:rPr>
          <w:szCs w:val="24"/>
        </w:rPr>
        <w:t xml:space="preserve">Policy CON 1.11 requires the City to support restoration of existing channelized waterways to a more natural condition.  Restoration efforts should provide for naturalized hydraulic functioning. Restoration should also promote the growth of riparian vegetation to effectively stabilize banks, screen pollutants from runoff entering the channel, enhance fisheries, and provide other opportunities for natural </w:t>
      </w:r>
      <w:r w:rsidRPr="00CA5FD5">
        <w:t>habitat</w:t>
      </w:r>
      <w:r w:rsidRPr="00CA5FD5">
        <w:rPr>
          <w:szCs w:val="24"/>
        </w:rPr>
        <w:t xml:space="preserve"> restoration.</w:t>
      </w:r>
      <w:r w:rsidRPr="00CA5FD5">
        <w:t xml:space="preserve"> </w:t>
      </w:r>
      <w:r w:rsidRPr="00CA5FD5">
        <w:rPr>
          <w:szCs w:val="24"/>
        </w:rPr>
        <w:t xml:space="preserve">Policy CON 1.12 requires discretionary projects, as well as new flood control and stormwater conveyance projects, to integrate best management practices (BMPs) and natural features to the greatest extent feasible, while ensuring that these features adequately convey and control stormwater to protect human health, safety, and welfare.  Policy CON 1.13 requires the City to prioritize the use of natural features such as bioswales, vegetation, retention ponds, and other measures to remove surface water pollutants prior to discharge into surface waters.  Policy CON 1.14 requires new development adjacent to creeks and streams to include opportunities for beneficial uses, such as flood control, ecological restoration activities, public access trails, and walkways. </w:t>
      </w:r>
    </w:p>
    <w:p w:rsidR="006C4831" w:rsidRPr="00A90A91" w:rsidRDefault="006C4831" w:rsidP="006C4831">
      <w:r w:rsidRPr="00A90A91">
        <w:rPr>
          <w:b/>
        </w:rPr>
        <w:t xml:space="preserve">Conclusion: </w:t>
      </w:r>
      <w:r w:rsidRPr="00CA5FD5">
        <w:t xml:space="preserve">Compliance with the Clean Water Act and regulations enforced by the Regional Water Quality Control Board would ensure that construction-related impacts to water quality are minimized and future projects comply with all applicable laws and regulations.  </w:t>
      </w:r>
      <w:r>
        <w:t>The City’s stormwater system is covered under a NPDES Phase I MS4 permit, which requires both mitigation of stormwater quantity and stormwater quality.  The Santa Rosa Storm Water Low Impact Development Technical Design Manual (LID Manual) provides specific guidance for post-construction stormwater control measures.  Implementation of the requirements of the NPDES Phase I MS4 permit, the LID Manual requirements</w:t>
      </w:r>
      <w:r w:rsidR="00AA34FF">
        <w:t xml:space="preserve"> (or successor documents)</w:t>
      </w:r>
      <w:r w:rsidR="001A5891">
        <w:t>,</w:t>
      </w:r>
      <w:r>
        <w:t xml:space="preserve"> and the </w:t>
      </w:r>
      <w:r w:rsidRPr="00CA5FD5">
        <w:t xml:space="preserve">various General Plan policies and action measures </w:t>
      </w:r>
      <w:r>
        <w:t>discussed above, and listed below</w:t>
      </w:r>
      <w:r w:rsidRPr="00CA5FD5">
        <w:t xml:space="preserve"> would further ensure that future development projects under the General Plan do not result in significant adverse effects to water quality.  </w:t>
      </w:r>
      <w:r w:rsidRPr="00A90A91">
        <w:t xml:space="preserve">The implementation of the General Plan would result in a </w:t>
      </w:r>
      <w:r w:rsidRPr="00A90A91">
        <w:rPr>
          <w:b/>
        </w:rPr>
        <w:t>less than significant</w:t>
      </w:r>
      <w:r w:rsidRPr="00A90A91">
        <w:t xml:space="preserve"> impact relative to this topic.  </w:t>
      </w:r>
    </w:p>
    <w:p w:rsidR="006C4831" w:rsidRPr="00245684" w:rsidRDefault="006C4831" w:rsidP="006C4831">
      <w:pPr>
        <w:pStyle w:val="Heading5"/>
        <w:spacing w:after="120"/>
        <w:rPr>
          <w:b/>
          <w:sz w:val="24"/>
        </w:rPr>
      </w:pPr>
      <w:r w:rsidRPr="00245684">
        <w:rPr>
          <w:b/>
          <w:sz w:val="24"/>
        </w:rPr>
        <w:lastRenderedPageBreak/>
        <w:t>2013 General Plan Policies and Actions that Mitigate Potential Impacts</w:t>
      </w:r>
    </w:p>
    <w:p w:rsidR="006C4831" w:rsidRPr="00A26723" w:rsidRDefault="006C4831" w:rsidP="006C4831">
      <w:pPr>
        <w:rPr>
          <w:i/>
          <w:u w:val="single"/>
        </w:rPr>
      </w:pPr>
      <w:r>
        <w:rPr>
          <w:i/>
          <w:u w:val="single"/>
        </w:rPr>
        <w:t>Policies</w:t>
      </w:r>
    </w:p>
    <w:p w:rsidR="006C4831" w:rsidRDefault="006C4831" w:rsidP="006C4831">
      <w:pPr>
        <w:pStyle w:val="Policy"/>
        <w:ind w:left="0"/>
        <w:rPr>
          <w:i/>
        </w:rPr>
      </w:pPr>
      <w:r w:rsidRPr="005038BA">
        <w:rPr>
          <w:rFonts w:eastAsia="Calibri"/>
          <w:b/>
          <w:bCs w:val="0"/>
          <w:i/>
          <w:szCs w:val="22"/>
        </w:rPr>
        <w:t>Policy CON 1.8:</w:t>
      </w:r>
      <w:r w:rsidRPr="005038BA">
        <w:rPr>
          <w:b/>
          <w:i/>
        </w:rPr>
        <w:t xml:space="preserve"> </w:t>
      </w:r>
      <w:r w:rsidRPr="005038BA">
        <w:rPr>
          <w:i/>
        </w:rPr>
        <w:t xml:space="preserve">Conserve riparian habitat along local creeks, including but not limited to the Laguna de Santa Rosa and Cotati Creek, in order to maintain suitable habitat for native fish and plant species.    </w:t>
      </w:r>
    </w:p>
    <w:p w:rsidR="006C4831" w:rsidRPr="005038BA" w:rsidRDefault="006C4831" w:rsidP="006C4831">
      <w:pPr>
        <w:pStyle w:val="Policy"/>
        <w:tabs>
          <w:tab w:val="clear" w:pos="720"/>
        </w:tabs>
        <w:ind w:left="0"/>
        <w:rPr>
          <w:i/>
        </w:rPr>
      </w:pPr>
      <w:r w:rsidRPr="005038BA">
        <w:rPr>
          <w:rFonts w:eastAsia="Calibri"/>
          <w:b/>
          <w:bCs w:val="0"/>
          <w:i/>
          <w:szCs w:val="22"/>
        </w:rPr>
        <w:t>Policy CON 1.9:</w:t>
      </w:r>
      <w:r w:rsidRPr="005038BA">
        <w:rPr>
          <w:i/>
        </w:rPr>
        <w:t xml:space="preserve">  Protect and enhance streams, channels, seasonal and permanent marshland, wetlands, sloughs, riparian habitat, and vernal pools through sound land use planning, community design, and site planning.  </w:t>
      </w:r>
    </w:p>
    <w:p w:rsidR="006C4831" w:rsidRPr="005038BA" w:rsidRDefault="006C4831" w:rsidP="006C4831">
      <w:pPr>
        <w:pStyle w:val="Policy"/>
        <w:tabs>
          <w:tab w:val="clear" w:pos="720"/>
        </w:tabs>
        <w:ind w:left="0"/>
        <w:rPr>
          <w:i/>
        </w:rPr>
      </w:pPr>
      <w:r w:rsidRPr="005038BA">
        <w:rPr>
          <w:rFonts w:eastAsia="Calibri"/>
          <w:b/>
          <w:bCs w:val="0"/>
          <w:i/>
          <w:szCs w:val="22"/>
        </w:rPr>
        <w:t>Policy CON 1.10:</w:t>
      </w:r>
      <w:r w:rsidRPr="005038BA">
        <w:rPr>
          <w:b/>
          <w:i/>
        </w:rPr>
        <w:t xml:space="preserve">  </w:t>
      </w:r>
      <w:r w:rsidRPr="005038BA">
        <w:rPr>
          <w:i/>
        </w:rPr>
        <w:t>Support rehabilitation of existing</w:t>
      </w:r>
      <w:r>
        <w:rPr>
          <w:i/>
        </w:rPr>
        <w:t xml:space="preserve"> open</w:t>
      </w:r>
      <w:r w:rsidRPr="005038BA">
        <w:rPr>
          <w:i/>
        </w:rPr>
        <w:t xml:space="preserve"> channelized waterways, as feasible, to remove concrete linings and allow for a connection with the stream channel and the natural water table. Avoid creating additional</w:t>
      </w:r>
      <w:r>
        <w:rPr>
          <w:i/>
        </w:rPr>
        <w:t xml:space="preserve"> open</w:t>
      </w:r>
      <w:r w:rsidRPr="005038BA">
        <w:rPr>
          <w:i/>
        </w:rPr>
        <w:t xml:space="preserve"> channelized waterways, unless no other alternative is available to protect human health, safety, and welfare.</w:t>
      </w:r>
    </w:p>
    <w:p w:rsidR="006C4831" w:rsidRPr="005038BA" w:rsidRDefault="006C4831" w:rsidP="006C4831">
      <w:pPr>
        <w:pStyle w:val="Policy"/>
        <w:tabs>
          <w:tab w:val="clear" w:pos="720"/>
        </w:tabs>
        <w:ind w:left="0"/>
        <w:rPr>
          <w:rFonts w:eastAsia="Calibri"/>
          <w:bCs w:val="0"/>
          <w:i/>
          <w:szCs w:val="22"/>
        </w:rPr>
      </w:pPr>
      <w:r w:rsidRPr="005038BA">
        <w:rPr>
          <w:rFonts w:eastAsia="Calibri"/>
          <w:b/>
          <w:bCs w:val="0"/>
          <w:i/>
          <w:szCs w:val="22"/>
        </w:rPr>
        <w:t xml:space="preserve">Policy CON 1.11:  </w:t>
      </w:r>
      <w:r w:rsidRPr="005038BA">
        <w:rPr>
          <w:rFonts w:eastAsia="Calibri"/>
          <w:bCs w:val="0"/>
          <w:i/>
          <w:szCs w:val="22"/>
        </w:rPr>
        <w:t>Where feasible, support restoration of existing channelized waterways to a more natural condition.  Restoration efforts should provide for naturalized hydraulic functioning. Restoration should also promote the growth of riparian vegetation to effectively stabilize banks, screen pollutants from runoff entering the channel, enhance fisheries, and provide other opportunities for natural habitat restoration.</w:t>
      </w:r>
    </w:p>
    <w:p w:rsidR="006C4831" w:rsidRPr="005038BA" w:rsidRDefault="006C4831" w:rsidP="006C4831">
      <w:pPr>
        <w:pStyle w:val="Policy"/>
        <w:tabs>
          <w:tab w:val="clear" w:pos="720"/>
        </w:tabs>
        <w:ind w:left="0"/>
        <w:rPr>
          <w:rFonts w:eastAsia="Calibri"/>
          <w:bCs w:val="0"/>
          <w:i/>
          <w:szCs w:val="22"/>
        </w:rPr>
      </w:pPr>
      <w:r w:rsidRPr="005038BA">
        <w:rPr>
          <w:rFonts w:eastAsia="Calibri"/>
          <w:b/>
          <w:bCs w:val="0"/>
          <w:i/>
          <w:szCs w:val="22"/>
        </w:rPr>
        <w:t>Policy CON 1.12:</w:t>
      </w:r>
      <w:r w:rsidRPr="005038BA">
        <w:rPr>
          <w:rFonts w:eastAsia="Calibri"/>
          <w:bCs w:val="0"/>
          <w:i/>
          <w:szCs w:val="22"/>
        </w:rPr>
        <w:t xml:space="preserve">  Require discretionary projects, as well as new flood control and stormwater conveyance projects, to integrate best management practices (BMPs) and natural features to the greatest extent feasible, while ensuring that these features adequately convey and control stormwater to protect human health, safety, and welfare.  </w:t>
      </w:r>
    </w:p>
    <w:p w:rsidR="006C4831" w:rsidRPr="005038BA" w:rsidRDefault="006C4831" w:rsidP="006C4831">
      <w:pPr>
        <w:pStyle w:val="Policy"/>
        <w:tabs>
          <w:tab w:val="clear" w:pos="720"/>
        </w:tabs>
        <w:ind w:left="0"/>
        <w:rPr>
          <w:rFonts w:eastAsia="Calibri"/>
          <w:bCs w:val="0"/>
          <w:i/>
          <w:szCs w:val="22"/>
        </w:rPr>
      </w:pPr>
      <w:r w:rsidRPr="005038BA">
        <w:rPr>
          <w:rFonts w:eastAsia="Calibri"/>
          <w:b/>
          <w:bCs w:val="0"/>
          <w:i/>
          <w:szCs w:val="22"/>
        </w:rPr>
        <w:t>Policy CON 1.13:</w:t>
      </w:r>
      <w:r w:rsidRPr="005038BA">
        <w:rPr>
          <w:rFonts w:eastAsia="Calibri"/>
          <w:bCs w:val="0"/>
          <w:i/>
          <w:szCs w:val="22"/>
        </w:rPr>
        <w:t xml:space="preserve">  Prioritize the use of natural features such as bioswales, vegetation, retention ponds, and other measures to remove surface water pollutants prior to discharge into surface waters.  </w:t>
      </w:r>
    </w:p>
    <w:p w:rsidR="006C4831" w:rsidRDefault="006C4831" w:rsidP="006C4831">
      <w:pPr>
        <w:pStyle w:val="Policy"/>
        <w:tabs>
          <w:tab w:val="clear" w:pos="720"/>
        </w:tabs>
        <w:ind w:left="0"/>
        <w:rPr>
          <w:rFonts w:eastAsia="Calibri"/>
          <w:bCs w:val="0"/>
          <w:i/>
          <w:szCs w:val="22"/>
        </w:rPr>
      </w:pPr>
      <w:r w:rsidRPr="005038BA">
        <w:rPr>
          <w:rFonts w:eastAsia="Calibri"/>
          <w:b/>
          <w:bCs w:val="0"/>
          <w:i/>
          <w:szCs w:val="22"/>
        </w:rPr>
        <w:t>Policy CON 1.14:</w:t>
      </w:r>
      <w:r w:rsidRPr="005038BA">
        <w:rPr>
          <w:rFonts w:eastAsia="Calibri"/>
          <w:bCs w:val="0"/>
          <w:i/>
          <w:szCs w:val="22"/>
        </w:rPr>
        <w:t xml:space="preserve">  New development adjacent to creeks and streams should include opportunities for beneficial uses, such as flood control, ecological restoration activities, publi</w:t>
      </w:r>
      <w:r>
        <w:rPr>
          <w:rFonts w:eastAsia="Calibri"/>
          <w:bCs w:val="0"/>
          <w:i/>
          <w:szCs w:val="22"/>
        </w:rPr>
        <w:t xml:space="preserve">c access trails, and walkways. </w:t>
      </w:r>
    </w:p>
    <w:p w:rsidR="006C4831" w:rsidRPr="00245684" w:rsidRDefault="006C4831" w:rsidP="006C4831">
      <w:pPr>
        <w:rPr>
          <w:i/>
          <w:u w:val="single"/>
        </w:rPr>
      </w:pPr>
      <w:r w:rsidRPr="00245684">
        <w:rPr>
          <w:i/>
          <w:u w:val="single"/>
        </w:rPr>
        <w:t>Actions</w:t>
      </w:r>
    </w:p>
    <w:p w:rsidR="006C4831" w:rsidRPr="005038BA" w:rsidRDefault="006C4831" w:rsidP="006C4831">
      <w:pPr>
        <w:pStyle w:val="Action"/>
        <w:spacing w:after="120"/>
        <w:ind w:left="0"/>
      </w:pPr>
      <w:r w:rsidRPr="005038BA">
        <w:rPr>
          <w:u w:val="single"/>
        </w:rPr>
        <w:t>Action CON 1f:</w:t>
      </w:r>
      <w:r w:rsidRPr="005038BA">
        <w:t xml:space="preserve">  Utilize existing regulations and procedures, including but not limited to the Land Use Code, Design Review, and the environmental review process (CEQA) to conserve wetlands and riparian habitat within the City and the Urban Growth Boundary.  Comply with the federal and state requirements, including no net loss of wetlands using mitigation strategies such as:</w:t>
      </w:r>
    </w:p>
    <w:p w:rsidR="006C4831" w:rsidRPr="005038BA" w:rsidRDefault="006C4831" w:rsidP="006C4831">
      <w:pPr>
        <w:pStyle w:val="Action"/>
        <w:numPr>
          <w:ilvl w:val="0"/>
          <w:numId w:val="11"/>
        </w:numPr>
        <w:spacing w:after="120"/>
        <w:ind w:left="720"/>
        <w:jc w:val="both"/>
      </w:pPr>
      <w:r w:rsidRPr="005038BA">
        <w:t>Avoidance of wetlands and riparian habitat through site design;</w:t>
      </w:r>
    </w:p>
    <w:p w:rsidR="006C4831" w:rsidRPr="005038BA" w:rsidRDefault="006C4831" w:rsidP="006C4831">
      <w:pPr>
        <w:pStyle w:val="Action"/>
        <w:numPr>
          <w:ilvl w:val="0"/>
          <w:numId w:val="11"/>
        </w:numPr>
        <w:spacing w:after="120"/>
        <w:ind w:left="720"/>
        <w:jc w:val="both"/>
      </w:pPr>
      <w:r w:rsidRPr="005038BA">
        <w:t>Clustered development;</w:t>
      </w:r>
    </w:p>
    <w:p w:rsidR="006C4831" w:rsidRPr="005038BA" w:rsidRDefault="006C4831" w:rsidP="006C4831">
      <w:pPr>
        <w:pStyle w:val="Action"/>
        <w:numPr>
          <w:ilvl w:val="0"/>
          <w:numId w:val="11"/>
        </w:numPr>
        <w:spacing w:after="120"/>
        <w:ind w:left="720"/>
        <w:jc w:val="both"/>
      </w:pPr>
      <w:r w:rsidRPr="005038BA">
        <w:t>Transfer of development rights; and/or</w:t>
      </w:r>
    </w:p>
    <w:p w:rsidR="006C4831" w:rsidRPr="005038BA" w:rsidRDefault="006C4831" w:rsidP="006C4831">
      <w:pPr>
        <w:pStyle w:val="Action"/>
        <w:numPr>
          <w:ilvl w:val="0"/>
          <w:numId w:val="11"/>
        </w:numPr>
        <w:ind w:left="720"/>
        <w:jc w:val="both"/>
      </w:pPr>
      <w:r w:rsidRPr="005038BA">
        <w:t xml:space="preserve">Compensatory mitigation, such as habitat restoration or habitat creation. </w:t>
      </w:r>
    </w:p>
    <w:p w:rsidR="006C4831" w:rsidRPr="005038BA" w:rsidRDefault="006C4831" w:rsidP="006C4831">
      <w:pPr>
        <w:pStyle w:val="Action"/>
        <w:ind w:left="0"/>
      </w:pPr>
      <w:r w:rsidRPr="005038BA">
        <w:rPr>
          <w:u w:val="single"/>
        </w:rPr>
        <w:lastRenderedPageBreak/>
        <w:t>Action CON 1g:</w:t>
      </w:r>
      <w:r w:rsidRPr="005038BA">
        <w:rPr>
          <w:b/>
        </w:rPr>
        <w:tab/>
      </w:r>
      <w:r w:rsidRPr="005038BA">
        <w:t xml:space="preserve">Coordinate with the California Department of Fish and Game and Sonoma County to identify potentially impacted aquatic habitat within the </w:t>
      </w:r>
      <w:r>
        <w:t xml:space="preserve">City and the </w:t>
      </w:r>
      <w:r w:rsidRPr="005038BA">
        <w:t xml:space="preserve">Urban Growth Boundary and to develop riparian management guidelines to be implemented by development, recreation, and other projects adjacent to creeks, streams and other waterways.  </w:t>
      </w:r>
    </w:p>
    <w:p w:rsidR="006C4831" w:rsidRPr="005038BA" w:rsidRDefault="006C4831" w:rsidP="006C4831">
      <w:pPr>
        <w:pStyle w:val="Action"/>
        <w:ind w:left="0"/>
      </w:pPr>
      <w:r w:rsidRPr="005038BA">
        <w:rPr>
          <w:u w:val="single"/>
        </w:rPr>
        <w:t>Action CON 1h</w:t>
      </w:r>
      <w:r w:rsidRPr="005038BA">
        <w:t>:</w:t>
      </w:r>
      <w:r w:rsidRPr="005038BA">
        <w:tab/>
        <w:t xml:space="preserve">Periodically review, and update if necessary, Chapter 17.56 of the Cotati Municipal Code to ensure that the most appropriate requirements and best management practices are implemented to protect and restore wetland resources in the Planning Area.   </w:t>
      </w:r>
    </w:p>
    <w:p w:rsidR="006C4831" w:rsidRPr="005038BA" w:rsidRDefault="006C4831" w:rsidP="006C4831">
      <w:pPr>
        <w:pStyle w:val="Action"/>
        <w:ind w:left="0"/>
      </w:pPr>
      <w:r w:rsidRPr="005038BA">
        <w:rPr>
          <w:u w:val="single"/>
        </w:rPr>
        <w:t>Action CON 1i</w:t>
      </w:r>
      <w:r w:rsidRPr="005038BA">
        <w:t>:</w:t>
      </w:r>
      <w:r w:rsidRPr="005038BA">
        <w:tab/>
        <w:t>Provide a Conservation Page (or similar page) on the City’s website provides links to resource agencies (CDFG, USFWS, USACE, etc.) and provides information regarding local and regional conservation and environmental programs, to the extent the City has readily available information.</w:t>
      </w:r>
    </w:p>
    <w:p w:rsidR="006C4831" w:rsidRPr="005038BA" w:rsidRDefault="006C4831" w:rsidP="006C4831">
      <w:pPr>
        <w:pStyle w:val="Action"/>
        <w:ind w:left="0"/>
        <w:rPr>
          <w:bCs w:val="0"/>
        </w:rPr>
      </w:pPr>
      <w:r w:rsidRPr="005038BA">
        <w:rPr>
          <w:u w:val="single"/>
        </w:rPr>
        <w:t>Action CON 1j:</w:t>
      </w:r>
      <w:r w:rsidRPr="005038BA">
        <w:rPr>
          <w:b/>
        </w:rPr>
        <w:tab/>
      </w:r>
      <w:r w:rsidRPr="005038BA">
        <w:rPr>
          <w:bCs w:val="0"/>
        </w:rPr>
        <w:t>Coordinate with interested public and private entities to create new and expanded public access trails along creeks and streams that connect to parks and open space areas within the Urban Growth Boundary.</w:t>
      </w:r>
    </w:p>
    <w:p w:rsidR="006C4831" w:rsidRPr="00406A78" w:rsidRDefault="006C4831" w:rsidP="006C4831">
      <w:pPr>
        <w:pStyle w:val="Action"/>
        <w:ind w:left="0"/>
      </w:pPr>
      <w:r w:rsidRPr="005038BA">
        <w:rPr>
          <w:u w:val="single"/>
        </w:rPr>
        <w:t>Action CON 1k</w:t>
      </w:r>
      <w:r w:rsidRPr="005038BA">
        <w:t>:</w:t>
      </w:r>
      <w:r w:rsidRPr="005038BA">
        <w:tab/>
        <w:t xml:space="preserve">Continue to identify which stormwater and drainage facilities are </w:t>
      </w:r>
      <w:r w:rsidRPr="00406A78">
        <w:t xml:space="preserve">in need of repair and address these needs through the CIP process. </w:t>
      </w:r>
    </w:p>
    <w:p w:rsidR="006C4831" w:rsidRPr="002639B0" w:rsidRDefault="006C4831" w:rsidP="006C4831">
      <w:pPr>
        <w:pStyle w:val="Heading4"/>
      </w:pPr>
      <w:r w:rsidRPr="002639B0">
        <w:t xml:space="preserve">Impact </w:t>
      </w:r>
      <w:r>
        <w:t>3.8</w:t>
      </w:r>
      <w:r w:rsidRPr="002639B0">
        <w:t xml:space="preserve">.2: General Plan implementation could </w:t>
      </w:r>
      <w:r>
        <w:t>contribute to</w:t>
      </w:r>
      <w:r w:rsidRPr="002639B0">
        <w:t xml:space="preserve"> the depletion of groundwater supplies or interfere substantially with groundwater recharge (Less than Significant)</w:t>
      </w:r>
    </w:p>
    <w:p w:rsidR="006C4831" w:rsidRPr="002639B0" w:rsidRDefault="006C4831" w:rsidP="006C4831">
      <w:r w:rsidRPr="002639B0">
        <w:t xml:space="preserve">The Santa Rosa Plain is a subbasin of the Santa Rosa Valley Basin. The Santa Rosa Plain drains northwest toward the Russian River, and is thus part of the North Coast Hydrologic Region. Several small hills near Cotati mark a drainage divide that separate the Santa Rosa Valley Basin from the Petaluma Valley Groundwater Basin, which drains to the southeast toward the San Francisco Bay. </w:t>
      </w:r>
    </w:p>
    <w:p w:rsidR="006C4831" w:rsidRPr="002639B0" w:rsidRDefault="006C4831" w:rsidP="006C4831">
      <w:r w:rsidRPr="002639B0">
        <w:t>The geology of the Santa Rosa Plain Subbasin is complex and the stratigraphic relationships are the subject of recent and continuing studies. Recent studies by the USGS have revealed that the basin is subdivided into two primary compartments termed the Windsor sub-basin in the north and the Cotati sub-basin in the south, which are separated by the Trenton fault. These two areas represent the deepest parts of the basin and range from 6,000 to 10,000 feet deep.</w:t>
      </w:r>
    </w:p>
    <w:p w:rsidR="006C4831" w:rsidRPr="002639B0" w:rsidRDefault="006C4831" w:rsidP="006C4831">
      <w:r w:rsidRPr="002639B0">
        <w:t>Both unconfined and confined aquifers are found within the Santa Rosa Plain subbasin depending upon locations in the basin with respect to relatively continuous clay layers, folding and faulting. The waterbearing deposits underlying the basin include the Wilson Grove Formation, the Glen Ellen Formation, the Petaluma Formation, and a younger and older alluvium. The Wilson Grove Formation is the major water-bearing unit in the western part of the basin and ranges in thickness from 300 feet to 1,500 feet. Deposited during the Pliocene, it is a marine deposit of fine sand and sandstone with thin interbeds of clay, silty-clay and some lenses of gravel. Interbedded and interfingered with the Wilson Grove Formation are Sonoma Volcanic sediments in the eastern basin separating the water-bearing units. Aquifer continuity and water quality are considered good based on the most current and detailed reference on the hydrogeology of the subbasin.</w:t>
      </w:r>
    </w:p>
    <w:p w:rsidR="006C4831" w:rsidRPr="008C64EA" w:rsidRDefault="006C4831" w:rsidP="006C4831">
      <w:r w:rsidRPr="002639B0">
        <w:lastRenderedPageBreak/>
        <w:t>In 1982, a Department of Water Resources study concluded that groundwater levels in the south part of the Santa Rosa Plain (near Cotati and Rohnert Park) had decreased; however, recent studies indicate that groundwater levels in this area have either stabilized or exhibited trends of recovery. This recovery trend in groundwater levels in the southern Santa Rosa Plain began around 2003 and has continued to the present. An estimated 10,500 permitted water-supply wells are located within the Santa Rosa Plain. These wells provide irrigation water for agriculture, industrial water supplies, rural residential, as well as municipal water supplies (i.e. City of Cotati) (Sonoma County Water Agency, 2011).</w:t>
      </w:r>
      <w:r>
        <w:t xml:space="preserve"> Groundwater leaves the basin (discharges) from wells, springs, evapotranspiration from plants, and as subsurface outflow. Groundwater also discharges to streams and contributes to streamflows in some areas of the basin, including segments of Santa Rosa Creek and the Laguna de Santa Rosa. Groundwater pumping is the most significant groundwater basin discharge from the study area, and has been estimated to be as much as 53,000 acre-feet per year, with the largest significant proportions being agricultural and domestic pumpage, followed by public supply pumpage. The majority of pumping is not measured or reported and was estimated in the Santa Rosa Plain Characterization and Management Planning Study (Sonoma County Water Agency, 2013) using land use data and a numerical groundwater flow model. Pumping from municipal public supply wells is the only component which is required to be measured and reported and comprises up to approximately 15% of the total pumping.</w:t>
      </w:r>
    </w:p>
    <w:p w:rsidR="006C4831" w:rsidRPr="00D83D9B" w:rsidRDefault="006C4831" w:rsidP="006C4831">
      <w:r w:rsidRPr="00D83D9B">
        <w:t xml:space="preserve">In addition to the water supply from Sonoma County Water Agency, the City uses local groundwater supply from three municipal well sites located within the city limits. Prior to 1992, the City used groundwater to supply more than half of its demands; however, more recently, the City’s water strategy has been to </w:t>
      </w:r>
      <w:r>
        <w:t xml:space="preserve">primarily </w:t>
      </w:r>
      <w:r w:rsidRPr="00D83D9B">
        <w:t>supply its demands by use of its Sonoma County Water Agency water supply and to use its local groundwater supplies to supplement demands during peak periods and also during periods of drought. The City’s local groundwater supply is a key element of its drought contingency plan and is planned to remain as such throughout the foreseeable future.</w:t>
      </w:r>
    </w:p>
    <w:p w:rsidR="001A5891" w:rsidRDefault="006C4831" w:rsidP="006C4831">
      <w:r w:rsidRPr="002639B0">
        <w:t xml:space="preserve">Subsequent development projects under the General Plan, such as residential, commercial, industrial, and roadway projects would result in new impervious surfaces and could reduce rainwater infiltration and groundwater recharge. Infiltration rates vary depending on the overlying soil types. In general, sandy soils have higher infiltration rates and can contribute to significant amounts of ground water recharge; clay soils tend to have lower percolation potentials; and impervious surfaces such as pavement significantly reduce infiltration capacity and increase surface water runoff. The amount of new pavement and the extent to which it affects infiltration depends on the site-specific soil type. Projects located in urban areas would have less of an impact than projects converting open lands and spaces. </w:t>
      </w:r>
      <w:r>
        <w:t xml:space="preserve">The City must evaluate individual projects as they are proposed to ensure that they would not result in a significant interference with recharge. The current water supply contract with the Sonoma County Water Agency has improved the groundwater conditions by transitioning water use to mostly surface water from the Russian River.  In addition, the City is participating in </w:t>
      </w:r>
      <w:r w:rsidR="00AA34FF">
        <w:t>the</w:t>
      </w:r>
      <w:r>
        <w:t xml:space="preserve"> regional voluntary </w:t>
      </w:r>
      <w:r w:rsidR="00AA34FF">
        <w:t xml:space="preserve">Santa Rosa Plain </w:t>
      </w:r>
      <w:r>
        <w:t>Groundwater Management Plan to better manage groundwater resources now and into the future.</w:t>
      </w:r>
    </w:p>
    <w:p w:rsidR="006C4831" w:rsidRDefault="001A5891" w:rsidP="006C4831">
      <w:pPr>
        <w:rPr>
          <w:highlight w:val="yellow"/>
        </w:rPr>
      </w:pPr>
      <w:r w:rsidRPr="004D7D3A">
        <w:lastRenderedPageBreak/>
        <w:t>The</w:t>
      </w:r>
      <w:r>
        <w:t xml:space="preserve"> </w:t>
      </w:r>
      <w:r w:rsidRPr="004D7D3A">
        <w:t>City’s historic water use records show that groundwater levels have not declined and the</w:t>
      </w:r>
      <w:r>
        <w:t xml:space="preserve"> </w:t>
      </w:r>
      <w:r w:rsidRPr="004D7D3A">
        <w:t>City can reliably supply historic demands with the use of groundwater</w:t>
      </w:r>
      <w:r>
        <w:t xml:space="preserve"> (2010 UWMP)</w:t>
      </w:r>
      <w:r w:rsidRPr="004D7D3A">
        <w:t>. The City is using an</w:t>
      </w:r>
      <w:r>
        <w:t xml:space="preserve"> </w:t>
      </w:r>
      <w:r w:rsidRPr="004D7D3A">
        <w:t>annual maximum extraction volume of 530 AFY for production capacity of their three</w:t>
      </w:r>
      <w:r>
        <w:t xml:space="preserve"> </w:t>
      </w:r>
      <w:r w:rsidRPr="004D7D3A">
        <w:t>groundwater wells, per the 2008 Luhdorff and Scalmanini report. Due to the storage volume</w:t>
      </w:r>
      <w:r>
        <w:t xml:space="preserve"> </w:t>
      </w:r>
      <w:r w:rsidRPr="004D7D3A">
        <w:t>available within the Santa Rosa Plain groundwater basin, it is not anticipated that groundwater supply would be affected in multiple-dry years. This is further explained in</w:t>
      </w:r>
      <w:r>
        <w:t xml:space="preserve"> </w:t>
      </w:r>
      <w:r w:rsidRPr="004D7D3A">
        <w:t>Section 5.4, Drought Planning of the 2010 UWMP.</w:t>
      </w:r>
      <w:r w:rsidR="006C4831">
        <w:t xml:space="preserve">  </w:t>
      </w:r>
    </w:p>
    <w:p w:rsidR="006C4831" w:rsidRDefault="006C4831" w:rsidP="006C4831">
      <w:r>
        <w:t>Implementation of the following General Plan p</w:t>
      </w:r>
      <w:r w:rsidRPr="002639B0">
        <w:t xml:space="preserve">olicies and action </w:t>
      </w:r>
      <w:r>
        <w:t xml:space="preserve">measures, combined with the City continuing to obtain surface water from the Russian River and reducing the consumption of groundwater, </w:t>
      </w:r>
      <w:r w:rsidRPr="002639B0">
        <w:t xml:space="preserve">would ensure that the General Plan would have a </w:t>
      </w:r>
      <w:r w:rsidRPr="002639B0">
        <w:rPr>
          <w:b/>
        </w:rPr>
        <w:t>less than significant</w:t>
      </w:r>
      <w:r w:rsidRPr="002639B0">
        <w:t xml:space="preserve"> impact </w:t>
      </w:r>
      <w:r>
        <w:t>relative to this topic</w:t>
      </w:r>
      <w:r w:rsidRPr="002639B0">
        <w:t>.</w:t>
      </w:r>
    </w:p>
    <w:p w:rsidR="006C4831" w:rsidRPr="00245684" w:rsidRDefault="006C4831" w:rsidP="006C4831">
      <w:pPr>
        <w:pStyle w:val="Heading5"/>
        <w:spacing w:after="120"/>
        <w:rPr>
          <w:b/>
          <w:sz w:val="24"/>
        </w:rPr>
      </w:pPr>
      <w:r w:rsidRPr="00245684">
        <w:rPr>
          <w:b/>
          <w:sz w:val="24"/>
        </w:rPr>
        <w:t>2013 General Plan Policies and Actions that Mitigate Potential Impacts</w:t>
      </w:r>
    </w:p>
    <w:p w:rsidR="006C4831" w:rsidRPr="00A26723" w:rsidRDefault="006C4831" w:rsidP="006C4831">
      <w:pPr>
        <w:rPr>
          <w:i/>
          <w:u w:val="single"/>
        </w:rPr>
      </w:pPr>
      <w:r>
        <w:rPr>
          <w:i/>
          <w:u w:val="single"/>
        </w:rPr>
        <w:t>Policies</w:t>
      </w:r>
    </w:p>
    <w:p w:rsidR="006C4831" w:rsidRPr="00761411" w:rsidRDefault="006C4831" w:rsidP="006C4831">
      <w:pPr>
        <w:pStyle w:val="Policy"/>
        <w:ind w:left="0"/>
      </w:pPr>
      <w:r w:rsidRPr="00761411">
        <w:rPr>
          <w:b/>
        </w:rPr>
        <w:t>Policy CSF 2.1:</w:t>
      </w:r>
      <w:r w:rsidRPr="00761411">
        <w:rPr>
          <w:b/>
        </w:rPr>
        <w:tab/>
      </w:r>
      <w:r w:rsidRPr="00761411">
        <w:t xml:space="preserve">Continuously implement a comprehensive water strategy that balances the need to supply potable and non-potable water supplies to all users served by the City with water use reduction strategies and strategies to increase the use of </w:t>
      </w:r>
      <w:r>
        <w:t>alternative</w:t>
      </w:r>
      <w:r w:rsidRPr="00761411">
        <w:t xml:space="preserve"> water supplies.  </w:t>
      </w:r>
    </w:p>
    <w:p w:rsidR="006C4831" w:rsidRPr="00761411" w:rsidRDefault="006C4831" w:rsidP="006C4831">
      <w:pPr>
        <w:pStyle w:val="Policy"/>
        <w:ind w:left="0"/>
        <w:rPr>
          <w:b/>
        </w:rPr>
      </w:pPr>
      <w:r w:rsidRPr="00761411">
        <w:rPr>
          <w:b/>
        </w:rPr>
        <w:t>Policy CSF 2.2:</w:t>
      </w:r>
      <w:r w:rsidRPr="00761411">
        <w:rPr>
          <w:b/>
        </w:rPr>
        <w:tab/>
      </w:r>
      <w:r w:rsidRPr="00571E46">
        <w:t xml:space="preserve">Prior to the approval of development, infrastructure, Specific Plans, or other projects that would result in increased demand for public water </w:t>
      </w:r>
      <w:r>
        <w:t xml:space="preserve">production, </w:t>
      </w:r>
      <w:r w:rsidRPr="00571E46">
        <w:t>conveyance</w:t>
      </w:r>
      <w:r>
        <w:t>,</w:t>
      </w:r>
      <w:r w:rsidRPr="00571E46">
        <w:t xml:space="preserve"> treatment</w:t>
      </w:r>
      <w:r>
        <w:t xml:space="preserve"> or storage</w:t>
      </w:r>
      <w:r w:rsidRPr="00571E46">
        <w:t>, project</w:t>
      </w:r>
      <w:r>
        <w:t xml:space="preserve"> proponents</w:t>
      </w:r>
      <w:r w:rsidRPr="00571E46">
        <w:t xml:space="preserve"> must demonstrate proof of adequate water supply (e.g., that existing services are adequate to accommodate the increased demand, or improvements to the capacity of the system to meet increased demand will be made prior to project implementation) and that potential cumulative impacts to water users and the environment will be addressed.</w:t>
      </w:r>
    </w:p>
    <w:p w:rsidR="006C4831" w:rsidRPr="00761411" w:rsidRDefault="006C4831" w:rsidP="006C4831">
      <w:pPr>
        <w:pStyle w:val="Policy"/>
        <w:ind w:left="0"/>
        <w:rPr>
          <w:bCs w:val="0"/>
        </w:rPr>
      </w:pPr>
      <w:r w:rsidRPr="00761411">
        <w:rPr>
          <w:b/>
        </w:rPr>
        <w:t>Policy: CSF 2.3</w:t>
      </w:r>
      <w:r w:rsidRPr="00761411">
        <w:rPr>
          <w:bCs w:val="0"/>
        </w:rPr>
        <w:t xml:space="preserve"> </w:t>
      </w:r>
      <w:r w:rsidRPr="00761411">
        <w:t>Ensure</w:t>
      </w:r>
      <w:r w:rsidRPr="00761411">
        <w:rPr>
          <w:bCs w:val="0"/>
        </w:rPr>
        <w:t xml:space="preserve"> the water system and supply is adequate to match rate of development. </w:t>
      </w:r>
    </w:p>
    <w:p w:rsidR="006C4831" w:rsidRPr="00761411" w:rsidRDefault="006C4831" w:rsidP="006C4831">
      <w:pPr>
        <w:pStyle w:val="Policy"/>
        <w:ind w:left="0"/>
      </w:pPr>
      <w:r w:rsidRPr="00761411">
        <w:rPr>
          <w:b/>
        </w:rPr>
        <w:t>Policy CSF 2.4:</w:t>
      </w:r>
      <w:r w:rsidRPr="00761411">
        <w:rPr>
          <w:bCs w:val="0"/>
        </w:rPr>
        <w:tab/>
      </w:r>
      <w:r w:rsidRPr="00761411">
        <w:t>Priority is given to serving existing water uses over new water uses.</w:t>
      </w:r>
    </w:p>
    <w:p w:rsidR="006C4831" w:rsidRPr="00761411" w:rsidRDefault="006C4831" w:rsidP="006C4831">
      <w:pPr>
        <w:pStyle w:val="Policy"/>
        <w:ind w:left="0"/>
      </w:pPr>
      <w:r w:rsidRPr="00761411">
        <w:rPr>
          <w:b/>
        </w:rPr>
        <w:t>Policy CSF 2.5:</w:t>
      </w:r>
      <w:r w:rsidRPr="00761411">
        <w:tab/>
        <w:t>Prioritize water system improvements to areas identified for economic growth (commercial and industrial development as well as related housing) in the next 5-10 years.</w:t>
      </w:r>
    </w:p>
    <w:p w:rsidR="006C4831" w:rsidRPr="00761411" w:rsidRDefault="006C4831" w:rsidP="006C4831">
      <w:pPr>
        <w:pStyle w:val="Policy"/>
        <w:ind w:left="0"/>
        <w:rPr>
          <w:bCs w:val="0"/>
        </w:rPr>
      </w:pPr>
      <w:r w:rsidRPr="00761411">
        <w:rPr>
          <w:b/>
        </w:rPr>
        <w:t>Policy CSF 2.6:</w:t>
      </w:r>
      <w:r w:rsidRPr="00761411">
        <w:rPr>
          <w:bCs w:val="0"/>
        </w:rPr>
        <w:tab/>
        <w:t xml:space="preserve">Continue to work with the Sonoma County Water Agency (SCWA) to maintain water </w:t>
      </w:r>
      <w:r w:rsidRPr="00761411">
        <w:t>supply</w:t>
      </w:r>
      <w:r w:rsidRPr="00761411">
        <w:rPr>
          <w:bCs w:val="0"/>
        </w:rPr>
        <w:t xml:space="preserve"> agreements to ensure an adequate water supply for the City.  </w:t>
      </w:r>
    </w:p>
    <w:p w:rsidR="006C4831" w:rsidRPr="00761411" w:rsidRDefault="006C4831" w:rsidP="006C4831">
      <w:pPr>
        <w:pStyle w:val="Policy"/>
        <w:ind w:left="0"/>
        <w:rPr>
          <w:bCs w:val="0"/>
        </w:rPr>
      </w:pPr>
      <w:r w:rsidRPr="00761411">
        <w:rPr>
          <w:b/>
        </w:rPr>
        <w:t>Policy CSF 2.7:</w:t>
      </w:r>
      <w:r w:rsidRPr="00761411">
        <w:rPr>
          <w:bCs w:val="0"/>
        </w:rPr>
        <w:tab/>
        <w:t xml:space="preserve">Support SCWA efforts to increase permitted surface water diversion rights from the </w:t>
      </w:r>
      <w:r w:rsidRPr="00761411">
        <w:t>Russian</w:t>
      </w:r>
      <w:r w:rsidRPr="00761411">
        <w:rPr>
          <w:bCs w:val="0"/>
        </w:rPr>
        <w:t xml:space="preserve"> River</w:t>
      </w:r>
      <w:r>
        <w:rPr>
          <w:bCs w:val="0"/>
        </w:rPr>
        <w:t>, as necessary to support future growth</w:t>
      </w:r>
      <w:r w:rsidRPr="00761411">
        <w:rPr>
          <w:bCs w:val="0"/>
        </w:rPr>
        <w:t xml:space="preserve">.  </w:t>
      </w:r>
    </w:p>
    <w:p w:rsidR="006C4831" w:rsidRPr="00761411" w:rsidRDefault="006C4831" w:rsidP="006C4831">
      <w:pPr>
        <w:pStyle w:val="Policy"/>
        <w:ind w:left="0"/>
        <w:rPr>
          <w:bCs w:val="0"/>
        </w:rPr>
      </w:pPr>
      <w:r w:rsidRPr="00761411">
        <w:rPr>
          <w:b/>
        </w:rPr>
        <w:t>Policy CSF 2.8:</w:t>
      </w:r>
      <w:r w:rsidRPr="00761411">
        <w:rPr>
          <w:bCs w:val="0"/>
        </w:rPr>
        <w:tab/>
        <w:t xml:space="preserve">Support conjunctive groundwater use, to the extent feasible, in order to increase the reliability and </w:t>
      </w:r>
      <w:r w:rsidRPr="00761411">
        <w:t>flexibility</w:t>
      </w:r>
      <w:r w:rsidRPr="00761411">
        <w:rPr>
          <w:bCs w:val="0"/>
        </w:rPr>
        <w:t xml:space="preserve"> of the City’s water supply.  </w:t>
      </w:r>
    </w:p>
    <w:p w:rsidR="006C4831" w:rsidRPr="00761411" w:rsidRDefault="006C4831" w:rsidP="006C4831">
      <w:pPr>
        <w:pStyle w:val="Policy"/>
        <w:ind w:left="0"/>
        <w:rPr>
          <w:bCs w:val="0"/>
        </w:rPr>
      </w:pPr>
      <w:r w:rsidRPr="00761411">
        <w:rPr>
          <w:b/>
        </w:rPr>
        <w:t>Policy CSF 2.9:</w:t>
      </w:r>
      <w:r w:rsidRPr="00761411">
        <w:rPr>
          <w:bCs w:val="0"/>
        </w:rPr>
        <w:tab/>
        <w:t xml:space="preserve">Routinely assess the City’s ability to meet demand for potable water by periodically </w:t>
      </w:r>
      <w:r w:rsidRPr="00761411">
        <w:t>updating</w:t>
      </w:r>
      <w:r w:rsidRPr="00761411">
        <w:rPr>
          <w:bCs w:val="0"/>
        </w:rPr>
        <w:t xml:space="preserve"> the Water Master Plan.  </w:t>
      </w:r>
    </w:p>
    <w:p w:rsidR="006C4831" w:rsidRPr="00761411" w:rsidRDefault="006C4831" w:rsidP="006C4831">
      <w:pPr>
        <w:pStyle w:val="Policy"/>
        <w:ind w:left="0"/>
        <w:rPr>
          <w:bCs w:val="0"/>
        </w:rPr>
      </w:pPr>
      <w:r w:rsidRPr="00761411">
        <w:rPr>
          <w:b/>
        </w:rPr>
        <w:lastRenderedPageBreak/>
        <w:t>Policy CSF 2.10:</w:t>
      </w:r>
      <w:r w:rsidRPr="00761411">
        <w:rPr>
          <w:bCs w:val="0"/>
        </w:rPr>
        <w:tab/>
        <w:t xml:space="preserve">  Continue efforts to reduce water use and increase water conservation.</w:t>
      </w:r>
    </w:p>
    <w:p w:rsidR="006C4831" w:rsidRPr="00761411" w:rsidRDefault="006C4831" w:rsidP="006C4831">
      <w:pPr>
        <w:pStyle w:val="Policy"/>
        <w:ind w:left="0"/>
        <w:rPr>
          <w:bCs w:val="0"/>
        </w:rPr>
      </w:pPr>
      <w:r w:rsidRPr="00761411">
        <w:rPr>
          <w:b/>
        </w:rPr>
        <w:t>Policy CSF 2.11:</w:t>
      </w:r>
      <w:r w:rsidRPr="00761411">
        <w:rPr>
          <w:bCs w:val="0"/>
        </w:rPr>
        <w:tab/>
        <w:t xml:space="preserve">Procure recycled water supplies from the Santa Rosa Subregional Wastewater Treatment and Reclamation System where economically feasible.  </w:t>
      </w:r>
    </w:p>
    <w:p w:rsidR="006C4831" w:rsidRPr="00761411" w:rsidRDefault="006C4831" w:rsidP="006C4831">
      <w:pPr>
        <w:pStyle w:val="Policy"/>
        <w:ind w:left="0"/>
        <w:rPr>
          <w:bCs w:val="0"/>
        </w:rPr>
      </w:pPr>
      <w:r w:rsidRPr="00761411">
        <w:rPr>
          <w:b/>
        </w:rPr>
        <w:t>Policy CSF 2.12:</w:t>
      </w:r>
      <w:r w:rsidRPr="00761411">
        <w:rPr>
          <w:bCs w:val="0"/>
        </w:rPr>
        <w:tab/>
        <w:t xml:space="preserve">Use recycled water for landscaping irrigation at City parks and City facilities </w:t>
      </w:r>
      <w:r>
        <w:rPr>
          <w:bCs w:val="0"/>
        </w:rPr>
        <w:t xml:space="preserve">where economically </w:t>
      </w:r>
      <w:r w:rsidRPr="00761411">
        <w:rPr>
          <w:bCs w:val="0"/>
        </w:rPr>
        <w:t xml:space="preserve">feasible.  </w:t>
      </w:r>
    </w:p>
    <w:p w:rsidR="006C4831" w:rsidRPr="00761411" w:rsidRDefault="006C4831" w:rsidP="006C4831">
      <w:pPr>
        <w:pStyle w:val="Policy"/>
        <w:ind w:left="0"/>
        <w:rPr>
          <w:bCs w:val="0"/>
        </w:rPr>
      </w:pPr>
      <w:r w:rsidRPr="00761411">
        <w:rPr>
          <w:b/>
        </w:rPr>
        <w:t>Policy CSF 2.13:</w:t>
      </w:r>
      <w:r w:rsidRPr="00761411">
        <w:rPr>
          <w:bCs w:val="0"/>
        </w:rPr>
        <w:tab/>
        <w:t xml:space="preserve">Maintain and ensure adequate emergency water supplies, including the Sonoma County Water Agency and City of Rohnert Park interties, for mutual benefit in case of emergency.  </w:t>
      </w:r>
    </w:p>
    <w:p w:rsidR="006C4831" w:rsidRPr="00761411" w:rsidRDefault="006C4831" w:rsidP="006C4831">
      <w:pPr>
        <w:pStyle w:val="Policy"/>
        <w:ind w:left="0"/>
        <w:rPr>
          <w:bCs w:val="0"/>
        </w:rPr>
      </w:pPr>
      <w:r w:rsidRPr="00761411">
        <w:rPr>
          <w:b/>
        </w:rPr>
        <w:t>Policy CSF 2.14:</w:t>
      </w:r>
      <w:r w:rsidRPr="00761411">
        <w:rPr>
          <w:bCs w:val="0"/>
        </w:rPr>
        <w:t xml:space="preserve"> Continue to implement the City’s water waste and water conservation requirements established under Chapter 13.30 of the Municipal Code.</w:t>
      </w:r>
    </w:p>
    <w:p w:rsidR="006C4831" w:rsidRDefault="006C4831" w:rsidP="006C4831">
      <w:pPr>
        <w:pStyle w:val="Policy"/>
        <w:ind w:left="0"/>
        <w:rPr>
          <w:bCs w:val="0"/>
        </w:rPr>
      </w:pPr>
      <w:r w:rsidRPr="00761411">
        <w:rPr>
          <w:b/>
        </w:rPr>
        <w:t>Policy CSF 2.15:</w:t>
      </w:r>
      <w:r w:rsidRPr="00761411">
        <w:rPr>
          <w:bCs w:val="0"/>
        </w:rPr>
        <w:t xml:space="preserve"> Continue to implement Chapter 13.36 of the Municipal Code and to work with the Environmental Health Division of Sonoma County’s Permit and Resource Management Department to ensure that septic tanks do not contaminate the water supply in Cotati.</w:t>
      </w:r>
    </w:p>
    <w:p w:rsidR="006C4831" w:rsidRPr="00245684" w:rsidRDefault="006C4831" w:rsidP="006C4831">
      <w:pPr>
        <w:rPr>
          <w:i/>
          <w:u w:val="single"/>
        </w:rPr>
      </w:pPr>
      <w:r w:rsidRPr="00245684">
        <w:rPr>
          <w:i/>
          <w:u w:val="single"/>
        </w:rPr>
        <w:t>Actions</w:t>
      </w:r>
    </w:p>
    <w:p w:rsidR="006C4831" w:rsidRPr="00761411" w:rsidRDefault="006C4831" w:rsidP="006C4831">
      <w:pPr>
        <w:pStyle w:val="Action"/>
        <w:ind w:left="0"/>
        <w:rPr>
          <w:bCs w:val="0"/>
        </w:rPr>
      </w:pPr>
      <w:r w:rsidRPr="00761411">
        <w:rPr>
          <w:u w:val="single"/>
        </w:rPr>
        <w:t>Action CSF 2a:</w:t>
      </w:r>
      <w:r w:rsidRPr="00761411">
        <w:rPr>
          <w:bCs w:val="0"/>
        </w:rPr>
        <w:t xml:space="preserve">  As part of the development review process, determine the potential impacts of development and infrastructure projects on the water system and ensure that new development contributes its fair share toward necessary water infrastructure and supply.  The Planning Department and the City Engineer shall be responsible for ensuring that the assessments are made.  </w:t>
      </w:r>
    </w:p>
    <w:p w:rsidR="006C4831" w:rsidRPr="00761411" w:rsidRDefault="006C4831" w:rsidP="006C4831">
      <w:pPr>
        <w:pStyle w:val="Action"/>
        <w:ind w:left="0"/>
        <w:rPr>
          <w:bCs w:val="0"/>
        </w:rPr>
      </w:pPr>
      <w:r w:rsidRPr="00761411">
        <w:rPr>
          <w:u w:val="single"/>
        </w:rPr>
        <w:t>Action CSF 2b:</w:t>
      </w:r>
      <w:r w:rsidRPr="00761411">
        <w:rPr>
          <w:bCs w:val="0"/>
        </w:rPr>
        <w:t xml:space="preserve"> </w:t>
      </w:r>
      <w:r w:rsidRPr="00B901A3">
        <w:rPr>
          <w:bCs w:val="0"/>
        </w:rPr>
        <w:t xml:space="preserve">Achieve water use reductions through implementation of the Demand Management Measures (DMM) contained in the </w:t>
      </w:r>
      <w:r>
        <w:rPr>
          <w:bCs w:val="0"/>
        </w:rPr>
        <w:t>water supply assessment</w:t>
      </w:r>
      <w:r w:rsidR="00AA34FF">
        <w:rPr>
          <w:bCs w:val="0"/>
        </w:rPr>
        <w:t>,</w:t>
      </w:r>
      <w:r>
        <w:rPr>
          <w:bCs w:val="0"/>
        </w:rPr>
        <w:t xml:space="preserve"> </w:t>
      </w:r>
      <w:r w:rsidRPr="00B901A3">
        <w:rPr>
          <w:bCs w:val="0"/>
        </w:rPr>
        <w:t>Urban Water Management Plan</w:t>
      </w:r>
      <w:r>
        <w:rPr>
          <w:bCs w:val="0"/>
        </w:rPr>
        <w:t xml:space="preserve">, </w:t>
      </w:r>
      <w:r w:rsidR="00AA34FF">
        <w:rPr>
          <w:bCs w:val="0"/>
        </w:rPr>
        <w:t>or equivalent,</w:t>
      </w:r>
      <w:r>
        <w:rPr>
          <w:bCs w:val="0"/>
        </w:rPr>
        <w:t xml:space="preserve"> as applicable</w:t>
      </w:r>
      <w:r w:rsidRPr="00B901A3">
        <w:rPr>
          <w:bCs w:val="0"/>
        </w:rPr>
        <w:t>.</w:t>
      </w:r>
    </w:p>
    <w:p w:rsidR="006C4831" w:rsidRPr="00761411" w:rsidRDefault="006C4831" w:rsidP="006C4831">
      <w:pPr>
        <w:pStyle w:val="Action"/>
        <w:ind w:left="0"/>
        <w:rPr>
          <w:bCs w:val="0"/>
        </w:rPr>
      </w:pPr>
      <w:r w:rsidRPr="00761411">
        <w:rPr>
          <w:u w:val="single"/>
        </w:rPr>
        <w:t>Action CSF 2c:</w:t>
      </w:r>
      <w:r w:rsidRPr="00761411">
        <w:rPr>
          <w:bCs w:val="0"/>
        </w:rPr>
        <w:t xml:space="preserve">  Develop mechanisms and infrastructure to deliver recycled water to City water users from the Santa Rosa Subregional Treatment and Reclamation System.</w:t>
      </w:r>
    </w:p>
    <w:p w:rsidR="006C4831" w:rsidRPr="00761411" w:rsidRDefault="006C4831" w:rsidP="006C4831">
      <w:pPr>
        <w:pStyle w:val="Action"/>
        <w:ind w:left="0"/>
        <w:rPr>
          <w:bCs w:val="0"/>
        </w:rPr>
      </w:pPr>
      <w:r w:rsidRPr="00761411">
        <w:rPr>
          <w:u w:val="single"/>
        </w:rPr>
        <w:t>Action CSF 2d:</w:t>
      </w:r>
      <w:r w:rsidRPr="00761411">
        <w:t xml:space="preserve">  Coordinate with the Sonoma County Water Agency, and continue to participate in planning efforts for the Santa Rosa Plain Groundwater Management </w:t>
      </w:r>
      <w:r w:rsidRPr="00761411">
        <w:rPr>
          <w:bCs w:val="0"/>
        </w:rPr>
        <w:t>Plan</w:t>
      </w:r>
      <w:r w:rsidRPr="00761411">
        <w:t xml:space="preserve"> to ensure more reliable conjunctive groundwater use.    </w:t>
      </w:r>
    </w:p>
    <w:p w:rsidR="006C4831" w:rsidRPr="00761411" w:rsidRDefault="006C4831" w:rsidP="006C4831">
      <w:pPr>
        <w:pStyle w:val="Action"/>
        <w:ind w:left="0"/>
        <w:rPr>
          <w:bCs w:val="0"/>
        </w:rPr>
      </w:pPr>
      <w:r w:rsidRPr="00761411">
        <w:rPr>
          <w:u w:val="single"/>
        </w:rPr>
        <w:t>Action CSF 2e:</w:t>
      </w:r>
      <w:r w:rsidRPr="00761411">
        <w:rPr>
          <w:bCs w:val="0"/>
        </w:rPr>
        <w:t xml:space="preserve">  Develop a public outreach and incentive program to expand and promote the use of recycled water once delivery infrastructure becomes available (this action may be in conjunction with the Conservation Guide discussed in the Conservation Element).  </w:t>
      </w:r>
    </w:p>
    <w:p w:rsidR="006C4831" w:rsidRPr="00761411" w:rsidRDefault="006C4831" w:rsidP="006C4831">
      <w:pPr>
        <w:pStyle w:val="Action"/>
        <w:ind w:left="0"/>
      </w:pPr>
      <w:r w:rsidRPr="00761411">
        <w:rPr>
          <w:u w:val="single"/>
        </w:rPr>
        <w:t>Action CSF 2f:</w:t>
      </w:r>
      <w:r w:rsidRPr="00761411">
        <w:rPr>
          <w:bCs w:val="0"/>
        </w:rPr>
        <w:t xml:space="preserve"> </w:t>
      </w:r>
      <w:r w:rsidRPr="00761411">
        <w:t xml:space="preserve">Through the planning process and the Conservation Guide discussed in the </w:t>
      </w:r>
      <w:r w:rsidRPr="00761411">
        <w:rPr>
          <w:bCs w:val="0"/>
        </w:rPr>
        <w:t>Conservation</w:t>
      </w:r>
      <w:r w:rsidRPr="00761411">
        <w:t xml:space="preserve"> Element, the City shall implement its water waste and water conservation requirements established in Chapter 13.30 of the Municipal Code.</w:t>
      </w:r>
    </w:p>
    <w:p w:rsidR="006C4831" w:rsidRPr="00B901A3" w:rsidRDefault="006C4831" w:rsidP="006C4831">
      <w:pPr>
        <w:pStyle w:val="Action"/>
        <w:ind w:left="0"/>
        <w:rPr>
          <w:u w:val="single"/>
        </w:rPr>
      </w:pPr>
      <w:r w:rsidRPr="00761411">
        <w:rPr>
          <w:u w:val="single"/>
        </w:rPr>
        <w:t>Action CSF 2g</w:t>
      </w:r>
      <w:r w:rsidRPr="00761411">
        <w:t xml:space="preserve">:  Update the City’s water waste and conservation strategy established in Chapter 13.30 of the Municipal Code to be consistent with current BMPs for water conservation, including measures identified by the Sonoma </w:t>
      </w:r>
      <w:r>
        <w:t>C</w:t>
      </w:r>
      <w:r w:rsidRPr="00761411">
        <w:t>ounty Water Agency, Sonoma-Marin Water Saving Partnership, and California Urban Water Conservation Council.  Ensure that the Conservation Guide (see Conservation Element) includes the mandatory and voluntary measures identified in Chapter 13.30.</w:t>
      </w:r>
    </w:p>
    <w:p w:rsidR="006C4831" w:rsidRPr="00140BEA" w:rsidRDefault="006C4831" w:rsidP="006C4831">
      <w:pPr>
        <w:pStyle w:val="Heading4"/>
        <w:keepLines/>
      </w:pPr>
      <w:r w:rsidRPr="00140BEA">
        <w:lastRenderedPageBreak/>
        <w:t xml:space="preserve">Impact </w:t>
      </w:r>
      <w:r>
        <w:t>3.8</w:t>
      </w:r>
      <w:r w:rsidRPr="00140BEA">
        <w:t>-3: General Plan implementation could alter the existing drainage pattern in a manner which would result in substantial erosion, siltation, flooding, or polluted runoff (Less than Significant)</w:t>
      </w:r>
    </w:p>
    <w:p w:rsidR="006C4831" w:rsidRPr="00140BEA" w:rsidRDefault="006C4831" w:rsidP="006C4831">
      <w:r w:rsidRPr="00140BEA">
        <w:t>Individual future projects developed after adoption of the General Plan would create new impervious surfaces. This would result in an incremental reduction in the amount of natural soil surfaces available for infiltration of rainfall and runoff, potentially generating additional runoff during storm events. In addition, the increase in impervious surfaces, along with the increase in surface water runoff, could increase the non-point source discharge of pollutants. Anticipated runoff contaminants include sediment, pesticides, oil and grease, nutrients, metals, bacteria, and trash. Contributions of these contaminants to stormwater and non-stormwater runoff would degrade the quality of receiving waters. During the dry season, vehicles and other urban activities release contaminants onto the impervious surfaces, where they can accumulate until the first storm event. During this initial storm event, or first flush, the concentrated pollutants would be transported via runoff to stormwater drainage systems. Contaminated runoff waters could flow into the stormwater drainage systems that discharge into rivers, agricultural ditches, sloughs, and channels and ultimately could degrade the water quality of any of these water bodies.</w:t>
      </w:r>
    </w:p>
    <w:p w:rsidR="006C4831" w:rsidRPr="002639B0" w:rsidRDefault="006C4831" w:rsidP="006C4831">
      <w:r w:rsidRPr="00140BEA">
        <w:t xml:space="preserve">Additionally, individual future projects developed after adoption of the General Plan could potentially alter surface drainage patterns as a result of directly altering flow patterns, or placing structures in a floodway, all of which could yield increased amounts of stormwater runoff. The construction activities associated with future projects, such as commercial, residential and industrial developments, as well as road widenings, and other infrastructure projects that convert permeable surfaces or install permanent structures would require stormwater drainage management measures to avoid flooding impacts. The existing storm drainage network in the City of Cotati may not have sufficient capacity to convey the additional runoff from individual future projects. If the storm drainage network is not appropriately designed it could be overwhelmed during a large storm event and result in </w:t>
      </w:r>
      <w:r w:rsidRPr="002639B0">
        <w:t>flooding.</w:t>
      </w:r>
    </w:p>
    <w:p w:rsidR="006C4831" w:rsidRPr="002639B0" w:rsidRDefault="006C4831" w:rsidP="006C4831">
      <w:r w:rsidRPr="002639B0">
        <w:t>Based upon the general planning nature of the General Plan, development of detailed, site-specific information on this impact at the program level is not feasible. As previously discussed, a future project applicant would be required to obtain permits from the Army Corps of Engineers and the Department of Fish and Game if any work is performed within a waterway. Each future development project must also include detailed project specific floodplain and drainage studies that assess the drainage characteristics and flood risks so that an appropriate storm drainage plan can be prepared to control storm water runoff, both during and after construction. The drainage plan will ultimately include project specific best management measures that are designed to allow for natural recharge and infiltration of stormwater.  Construction of storm drainage improvements would occur as part of an overall development project and is considered in the environmental impacts associated with project construction and implementation as addressed throughout this EIR.</w:t>
      </w:r>
    </w:p>
    <w:p w:rsidR="006C4831" w:rsidRPr="002639B0" w:rsidRDefault="006C4831" w:rsidP="006C4831">
      <w:r w:rsidRPr="002639B0">
        <w:t xml:space="preserve">The City of Cotati has developed the General Plan to include </w:t>
      </w:r>
      <w:r>
        <w:t xml:space="preserve">the </w:t>
      </w:r>
      <w:r w:rsidRPr="002639B0">
        <w:t>policies and action items identified below</w:t>
      </w:r>
      <w:r>
        <w:t>, which</w:t>
      </w:r>
      <w:r w:rsidRPr="002639B0">
        <w:t xml:space="preserve"> include numerous requirements that would reduce the potential for General Plan implementation to result in increased flooding or result in water quality impacts </w:t>
      </w:r>
      <w:r w:rsidRPr="002639B0">
        <w:lastRenderedPageBreak/>
        <w:t xml:space="preserve">associated with increased runoff, siltation or erosion.  The implementation of these policies and action items would ensure that implementation of the General Plan would have a </w:t>
      </w:r>
      <w:r w:rsidRPr="002639B0">
        <w:rPr>
          <w:b/>
        </w:rPr>
        <w:t>less than significant</w:t>
      </w:r>
      <w:r w:rsidRPr="002639B0">
        <w:t xml:space="preserve"> impact from these issues.</w:t>
      </w:r>
    </w:p>
    <w:p w:rsidR="006C4831" w:rsidRPr="00245684" w:rsidRDefault="006C4831" w:rsidP="006C4831">
      <w:pPr>
        <w:pStyle w:val="Heading5"/>
        <w:spacing w:after="120"/>
        <w:rPr>
          <w:b/>
          <w:sz w:val="24"/>
        </w:rPr>
      </w:pPr>
      <w:r w:rsidRPr="00245684">
        <w:rPr>
          <w:b/>
          <w:sz w:val="24"/>
        </w:rPr>
        <w:t>2013 General Plan Policies and Actions that Mitigate Potential Impacts</w:t>
      </w:r>
    </w:p>
    <w:p w:rsidR="006C4831" w:rsidRPr="00A26723" w:rsidRDefault="006C4831" w:rsidP="006C4831">
      <w:pPr>
        <w:rPr>
          <w:i/>
          <w:u w:val="single"/>
        </w:rPr>
      </w:pPr>
      <w:r>
        <w:rPr>
          <w:i/>
          <w:u w:val="single"/>
        </w:rPr>
        <w:t>Policies</w:t>
      </w:r>
    </w:p>
    <w:p w:rsidR="006C4831" w:rsidRPr="002639B0" w:rsidRDefault="006C4831" w:rsidP="006C4831">
      <w:pPr>
        <w:pStyle w:val="Policy"/>
        <w:tabs>
          <w:tab w:val="clear" w:pos="720"/>
        </w:tabs>
        <w:ind w:left="0"/>
        <w:rPr>
          <w:i/>
        </w:rPr>
      </w:pPr>
      <w:r w:rsidRPr="002639B0">
        <w:rPr>
          <w:b/>
          <w:i/>
        </w:rPr>
        <w:t>Policy CON 1.1:</w:t>
      </w:r>
      <w:r w:rsidRPr="002639B0">
        <w:rPr>
          <w:i/>
        </w:rPr>
        <w:t xml:space="preserve"> Sensitive habitats include, wetlands, vernal pools, riparian areas, wildlife and fish migration corridors, native plant nursery sites, waters of the U.S., sensitive natural communities, and </w:t>
      </w:r>
      <w:r w:rsidRPr="002639B0">
        <w:rPr>
          <w:rFonts w:eastAsia="Calibri"/>
          <w:bCs w:val="0"/>
          <w:i/>
          <w:szCs w:val="22"/>
        </w:rPr>
        <w:t>other</w:t>
      </w:r>
      <w:r w:rsidRPr="002639B0">
        <w:rPr>
          <w:i/>
        </w:rPr>
        <w:t xml:space="preserve"> habitats designated by state and federal agencies and laws. </w:t>
      </w:r>
    </w:p>
    <w:p w:rsidR="006C4831" w:rsidRPr="002639B0" w:rsidRDefault="006C4831" w:rsidP="006C4831">
      <w:pPr>
        <w:pStyle w:val="Policy"/>
        <w:ind w:left="0"/>
        <w:rPr>
          <w:i/>
        </w:rPr>
      </w:pPr>
      <w:r w:rsidRPr="002639B0">
        <w:rPr>
          <w:b/>
          <w:i/>
        </w:rPr>
        <w:t>Policy CON 1.2:</w:t>
      </w:r>
      <w:r w:rsidRPr="002639B0">
        <w:rPr>
          <w:i/>
        </w:rPr>
        <w:t xml:space="preserve"> Preserve and enhance those biological communities that contribute to the City’s and the region’s rich biodiversity including, but not limited to, annual grasslands, freshwater marshes, wetlands, vernal pools, riparian areas, aquatic habitat, and agricultural lands.</w:t>
      </w:r>
    </w:p>
    <w:p w:rsidR="006C4831" w:rsidRPr="002639B0" w:rsidRDefault="006C4831" w:rsidP="006C4831">
      <w:pPr>
        <w:pStyle w:val="Policy"/>
        <w:ind w:left="0"/>
        <w:rPr>
          <w:i/>
        </w:rPr>
      </w:pPr>
      <w:r w:rsidRPr="002639B0">
        <w:rPr>
          <w:rFonts w:eastAsia="Calibri"/>
          <w:b/>
          <w:bCs w:val="0"/>
          <w:i/>
          <w:szCs w:val="22"/>
        </w:rPr>
        <w:t>Policy CON 1.7:</w:t>
      </w:r>
      <w:r w:rsidRPr="002639B0">
        <w:rPr>
          <w:b/>
          <w:i/>
        </w:rPr>
        <w:t xml:space="preserve">  </w:t>
      </w:r>
      <w:r w:rsidRPr="002639B0">
        <w:rPr>
          <w:i/>
        </w:rPr>
        <w:t xml:space="preserve">Consult with all resource agencies during the CEQA review process for proposed developments to help identify wetland and vernal pool habitat that has candidacy for restoration, conservation, and/or mitigation.  Focus restoration and/or conservation efforts on areas that would maximize multiple beneficial uses for such habitat and provides opportunities for mitigation banking.  </w:t>
      </w:r>
    </w:p>
    <w:p w:rsidR="006C4831" w:rsidRDefault="006C4831" w:rsidP="006C4831">
      <w:pPr>
        <w:pStyle w:val="Policy"/>
        <w:ind w:left="0"/>
        <w:rPr>
          <w:i/>
        </w:rPr>
      </w:pPr>
      <w:r w:rsidRPr="002639B0">
        <w:rPr>
          <w:rFonts w:eastAsia="Calibri"/>
          <w:b/>
          <w:bCs w:val="0"/>
          <w:i/>
          <w:szCs w:val="22"/>
        </w:rPr>
        <w:t>Policy CON 1.8:</w:t>
      </w:r>
      <w:r w:rsidRPr="002639B0">
        <w:rPr>
          <w:b/>
          <w:i/>
        </w:rPr>
        <w:t xml:space="preserve">  </w:t>
      </w:r>
      <w:r w:rsidRPr="002639B0">
        <w:rPr>
          <w:i/>
        </w:rPr>
        <w:t xml:space="preserve">Conserve riparian habitat along local creeks, including but not limited to the Laguna de Santa Rosa and Cotati Creek, in order to maintain suitable habitat for native fish and plant species.    </w:t>
      </w:r>
    </w:p>
    <w:p w:rsidR="006C4831" w:rsidRPr="002639B0" w:rsidRDefault="006C4831" w:rsidP="006C4831">
      <w:pPr>
        <w:pStyle w:val="Policy"/>
        <w:tabs>
          <w:tab w:val="clear" w:pos="720"/>
        </w:tabs>
        <w:ind w:left="0"/>
        <w:rPr>
          <w:i/>
        </w:rPr>
      </w:pPr>
      <w:r w:rsidRPr="002639B0">
        <w:rPr>
          <w:rFonts w:eastAsia="Calibri"/>
          <w:b/>
          <w:bCs w:val="0"/>
          <w:i/>
          <w:szCs w:val="22"/>
        </w:rPr>
        <w:t>Policy CON 1.9:</w:t>
      </w:r>
      <w:r w:rsidRPr="002639B0">
        <w:rPr>
          <w:i/>
        </w:rPr>
        <w:t xml:space="preserve">  Protect and enhance streams, channels, seasonal and permanent marshland, wetlands, sloughs, riparian habitat, and vernal pools through sound land use planning, community design, and site planning.  </w:t>
      </w:r>
    </w:p>
    <w:p w:rsidR="006C4831" w:rsidRPr="002639B0" w:rsidRDefault="006C4831" w:rsidP="006C4831">
      <w:pPr>
        <w:pStyle w:val="Policy"/>
        <w:tabs>
          <w:tab w:val="clear" w:pos="720"/>
        </w:tabs>
        <w:ind w:left="0"/>
        <w:rPr>
          <w:i/>
        </w:rPr>
      </w:pPr>
      <w:r w:rsidRPr="002639B0">
        <w:rPr>
          <w:rFonts w:eastAsia="Calibri"/>
          <w:b/>
          <w:bCs w:val="0"/>
          <w:i/>
          <w:szCs w:val="22"/>
        </w:rPr>
        <w:t>Policy CON 1.10:</w:t>
      </w:r>
      <w:r w:rsidRPr="002639B0">
        <w:rPr>
          <w:b/>
          <w:i/>
        </w:rPr>
        <w:t xml:space="preserve">  </w:t>
      </w:r>
      <w:r w:rsidRPr="002639B0">
        <w:rPr>
          <w:i/>
        </w:rPr>
        <w:t>Support rehabilitation of existing channelized waterways, as feasible, to remove concrete linings and allow for a connection with the stream channel and the natural water table. Avoid creating additional channelized waterways, unless no other alternative is available to protect human health, safety, and welfare.</w:t>
      </w:r>
    </w:p>
    <w:p w:rsidR="006C4831" w:rsidRPr="002639B0" w:rsidRDefault="006C4831" w:rsidP="006C4831">
      <w:pPr>
        <w:pStyle w:val="Policy"/>
        <w:tabs>
          <w:tab w:val="clear" w:pos="720"/>
        </w:tabs>
        <w:ind w:left="0"/>
        <w:rPr>
          <w:rFonts w:eastAsia="Calibri"/>
          <w:bCs w:val="0"/>
          <w:i/>
          <w:szCs w:val="22"/>
        </w:rPr>
      </w:pPr>
      <w:r w:rsidRPr="002639B0">
        <w:rPr>
          <w:rFonts w:eastAsia="Calibri"/>
          <w:b/>
          <w:bCs w:val="0"/>
          <w:i/>
          <w:szCs w:val="22"/>
        </w:rPr>
        <w:t xml:space="preserve">Policy CON 1.11:  </w:t>
      </w:r>
      <w:r w:rsidRPr="002639B0">
        <w:rPr>
          <w:rFonts w:eastAsia="Calibri"/>
          <w:bCs w:val="0"/>
          <w:i/>
          <w:szCs w:val="22"/>
        </w:rPr>
        <w:t>Where feasible, support restoration of existing channelized waterways to a more natural condition.  Restoration efforts should provide for naturalized hydraulic functioning. Restoration should also promote the growth of riparian vegetation to effectively stabilize banks, screen pollutants from runoff entering the channel, enhance fisheries, and provide other opportunities for natural habitat restoration.</w:t>
      </w:r>
    </w:p>
    <w:p w:rsidR="006C4831" w:rsidRPr="002639B0" w:rsidRDefault="006C4831" w:rsidP="006C4831">
      <w:pPr>
        <w:pStyle w:val="Policy"/>
        <w:tabs>
          <w:tab w:val="clear" w:pos="720"/>
        </w:tabs>
        <w:ind w:left="0"/>
        <w:rPr>
          <w:rFonts w:eastAsia="Calibri"/>
          <w:bCs w:val="0"/>
          <w:i/>
          <w:szCs w:val="22"/>
        </w:rPr>
      </w:pPr>
      <w:r w:rsidRPr="002639B0">
        <w:rPr>
          <w:rFonts w:eastAsia="Calibri"/>
          <w:b/>
          <w:bCs w:val="0"/>
          <w:i/>
          <w:szCs w:val="22"/>
        </w:rPr>
        <w:t>Policy CON 1.12:</w:t>
      </w:r>
      <w:r w:rsidRPr="002639B0">
        <w:rPr>
          <w:rFonts w:eastAsia="Calibri"/>
          <w:bCs w:val="0"/>
          <w:i/>
          <w:szCs w:val="22"/>
        </w:rPr>
        <w:t xml:space="preserve">  Require discretionary projects, as well as new flood control and stormwater conveyance projects, to integrate best management practices (BMPs) and natural features to the greatest extent feasible, while ensuring that these features adequately convey and control stormwater to protect human health, safety, and welfare.  </w:t>
      </w:r>
    </w:p>
    <w:p w:rsidR="006C4831" w:rsidRPr="002639B0" w:rsidRDefault="006C4831" w:rsidP="006C4831">
      <w:pPr>
        <w:pStyle w:val="Policy"/>
        <w:tabs>
          <w:tab w:val="clear" w:pos="720"/>
        </w:tabs>
        <w:ind w:left="0"/>
        <w:rPr>
          <w:rFonts w:eastAsia="Calibri"/>
          <w:bCs w:val="0"/>
          <w:i/>
          <w:szCs w:val="22"/>
        </w:rPr>
      </w:pPr>
      <w:r w:rsidRPr="002639B0">
        <w:rPr>
          <w:rFonts w:eastAsia="Calibri"/>
          <w:b/>
          <w:bCs w:val="0"/>
          <w:i/>
          <w:szCs w:val="22"/>
        </w:rPr>
        <w:t>Policy CON 1.13:</w:t>
      </w:r>
      <w:r w:rsidRPr="002639B0">
        <w:rPr>
          <w:rFonts w:eastAsia="Calibri"/>
          <w:bCs w:val="0"/>
          <w:i/>
          <w:szCs w:val="22"/>
        </w:rPr>
        <w:t xml:space="preserve">  Prioritize the use of natural features such as bioswales, vegetation, retention ponds, and other measures to remove surface water pollutants prior to discharge into surface waters.  </w:t>
      </w:r>
    </w:p>
    <w:p w:rsidR="006C4831" w:rsidRDefault="006C4831" w:rsidP="006C4831">
      <w:pPr>
        <w:pStyle w:val="Policy"/>
        <w:tabs>
          <w:tab w:val="clear" w:pos="720"/>
        </w:tabs>
        <w:ind w:left="0"/>
        <w:rPr>
          <w:rFonts w:eastAsia="Calibri"/>
          <w:bCs w:val="0"/>
          <w:i/>
          <w:szCs w:val="22"/>
        </w:rPr>
      </w:pPr>
      <w:r w:rsidRPr="002639B0">
        <w:rPr>
          <w:rFonts w:eastAsia="Calibri"/>
          <w:b/>
          <w:bCs w:val="0"/>
          <w:i/>
          <w:szCs w:val="22"/>
        </w:rPr>
        <w:lastRenderedPageBreak/>
        <w:t>Policy CON 1.14:</w:t>
      </w:r>
      <w:r w:rsidRPr="002639B0">
        <w:rPr>
          <w:rFonts w:eastAsia="Calibri"/>
          <w:bCs w:val="0"/>
          <w:i/>
          <w:szCs w:val="22"/>
        </w:rPr>
        <w:t xml:space="preserve">  New development adjacent to creeks and streams should include opportunities for beneficial uses, such as flood control, ecological restoration activities, public access trails, and walkways.  </w:t>
      </w:r>
    </w:p>
    <w:p w:rsidR="006C4831" w:rsidRPr="002639B0" w:rsidRDefault="006C4831" w:rsidP="006C4831">
      <w:pPr>
        <w:pStyle w:val="Policy"/>
        <w:tabs>
          <w:tab w:val="clear" w:pos="720"/>
        </w:tabs>
        <w:ind w:left="0"/>
        <w:rPr>
          <w:i/>
        </w:rPr>
      </w:pPr>
      <w:r w:rsidRPr="002639B0">
        <w:rPr>
          <w:b/>
          <w:i/>
        </w:rPr>
        <w:t>Policy SA 3.1:</w:t>
      </w:r>
      <w:r>
        <w:rPr>
          <w:b/>
          <w:i/>
        </w:rPr>
        <w:t xml:space="preserve"> </w:t>
      </w:r>
      <w:r w:rsidRPr="002639B0">
        <w:rPr>
          <w:i/>
        </w:rPr>
        <w:t xml:space="preserve">Support and participate in planning efforts undertaken at the regional, state, and federal levels to improve flood management facilities throughout Sonoma County.  </w:t>
      </w:r>
    </w:p>
    <w:p w:rsidR="006C4831" w:rsidRPr="002639B0" w:rsidRDefault="006C4831" w:rsidP="006C4831">
      <w:pPr>
        <w:pStyle w:val="Policy"/>
        <w:keepNext/>
        <w:ind w:left="0"/>
        <w:rPr>
          <w:i/>
        </w:rPr>
      </w:pPr>
      <w:r w:rsidRPr="002639B0">
        <w:rPr>
          <w:b/>
          <w:i/>
        </w:rPr>
        <w:t>Policy SA 3.2:</w:t>
      </w:r>
      <w:r>
        <w:rPr>
          <w:i/>
        </w:rPr>
        <w:t xml:space="preserve"> </w:t>
      </w:r>
      <w:r w:rsidRPr="002639B0">
        <w:rPr>
          <w:i/>
        </w:rPr>
        <w:t xml:space="preserve">Require all development projects to demonstrate how storm water runoff will be detained or retained on-site and/or conveyed to the nearest drainage facility as part of the development review process.  Project applicants shall demonstrate that project implementation would </w:t>
      </w:r>
      <w:r>
        <w:t>comply with all applicable provisions of the City’s MS4 permit</w:t>
      </w:r>
      <w:r w:rsidR="00AA34FF">
        <w:t xml:space="preserve"> and companion documents</w:t>
      </w:r>
      <w:r>
        <w:t xml:space="preserve">, which </w:t>
      </w:r>
      <w:r w:rsidR="00AA34FF">
        <w:t>collectively</w:t>
      </w:r>
      <w:r>
        <w:t xml:space="preserve"> define the design storm event for water detention and retention features</w:t>
      </w:r>
      <w:r w:rsidRPr="00281E71">
        <w:t>.</w:t>
      </w:r>
    </w:p>
    <w:p w:rsidR="006C4831" w:rsidRPr="002639B0" w:rsidRDefault="006C4831" w:rsidP="006C4831">
      <w:pPr>
        <w:pStyle w:val="Policy"/>
        <w:ind w:left="0"/>
        <w:rPr>
          <w:i/>
        </w:rPr>
      </w:pPr>
      <w:r w:rsidRPr="002639B0">
        <w:rPr>
          <w:b/>
          <w:i/>
        </w:rPr>
        <w:t>Policy SA 3.3:</w:t>
      </w:r>
      <w:r>
        <w:rPr>
          <w:i/>
        </w:rPr>
        <w:t xml:space="preserve"> </w:t>
      </w:r>
      <w:r w:rsidRPr="002639B0">
        <w:rPr>
          <w:i/>
        </w:rPr>
        <w:t xml:space="preserve">Ensure that construction activities will not result in adverse impacts to existing flood control and drainage structures.  </w:t>
      </w:r>
    </w:p>
    <w:p w:rsidR="006C4831" w:rsidRPr="002639B0" w:rsidRDefault="006C4831" w:rsidP="006C4831">
      <w:pPr>
        <w:pStyle w:val="Policy"/>
        <w:ind w:left="0"/>
        <w:rPr>
          <w:i/>
        </w:rPr>
      </w:pPr>
      <w:r w:rsidRPr="002639B0">
        <w:rPr>
          <w:b/>
          <w:i/>
        </w:rPr>
        <w:t>Policy SA 3.4:</w:t>
      </w:r>
      <w:r w:rsidRPr="002639B0">
        <w:rPr>
          <w:i/>
        </w:rPr>
        <w:t xml:space="preserve"> For properties located within a flood hazard zone, as identified on the most recent FEMA 100-year floodplain map or identified by the California Department of Water Resources, the City shall not enter into a development agreement, approve any discretionary entitlement, tentative parcel map, parcel map, final map, or any ministerial permit that would result in the construction of a new residence unless flood protection findings consistent with the requirements of California Government Code Sections 65865.5, 65962, and 66474.5 can be made and documented.  </w:t>
      </w:r>
    </w:p>
    <w:p w:rsidR="006C4831" w:rsidRPr="002639B0" w:rsidRDefault="006C4831" w:rsidP="006C4831">
      <w:pPr>
        <w:pStyle w:val="Policy"/>
        <w:ind w:left="0"/>
        <w:rPr>
          <w:bCs w:val="0"/>
          <w:i/>
        </w:rPr>
      </w:pPr>
      <w:r w:rsidRPr="002639B0">
        <w:rPr>
          <w:b/>
          <w:i/>
        </w:rPr>
        <w:t>Policy SA 3.5:</w:t>
      </w:r>
      <w:r w:rsidRPr="002639B0">
        <w:rPr>
          <w:bCs w:val="0"/>
          <w:i/>
        </w:rPr>
        <w:t xml:space="preserve"> All new </w:t>
      </w:r>
      <w:r w:rsidRPr="002639B0">
        <w:rPr>
          <w:i/>
        </w:rPr>
        <w:t>development</w:t>
      </w:r>
      <w:r w:rsidRPr="002639B0">
        <w:rPr>
          <w:bCs w:val="0"/>
          <w:i/>
        </w:rPr>
        <w:t xml:space="preserve"> within the 100</w:t>
      </w:r>
      <w:r w:rsidRPr="002639B0">
        <w:rPr>
          <w:bCs w:val="0"/>
          <w:i/>
        </w:rPr>
        <w:noBreakHyphen/>
        <w:t xml:space="preserve">year flood plain shall be built according to Federal Flood Insurance Agency standards.  </w:t>
      </w:r>
    </w:p>
    <w:p w:rsidR="006C4831" w:rsidRPr="002639B0" w:rsidRDefault="006C4831" w:rsidP="006C4831">
      <w:pPr>
        <w:pStyle w:val="Policy"/>
        <w:ind w:left="0"/>
        <w:rPr>
          <w:i/>
        </w:rPr>
      </w:pPr>
      <w:r w:rsidRPr="002639B0">
        <w:rPr>
          <w:b/>
          <w:i/>
        </w:rPr>
        <w:t xml:space="preserve">Policy SA 3.6: </w:t>
      </w:r>
      <w:r w:rsidRPr="002639B0">
        <w:rPr>
          <w:i/>
        </w:rPr>
        <w:t>Require new structures to be located outside of the 100-year floodplain to the greatest extent feasible.</w:t>
      </w:r>
    </w:p>
    <w:p w:rsidR="006C4831" w:rsidRPr="002639B0" w:rsidRDefault="006C4831" w:rsidP="006C4831">
      <w:pPr>
        <w:pStyle w:val="Policy"/>
        <w:ind w:left="0"/>
        <w:rPr>
          <w:i/>
        </w:rPr>
      </w:pPr>
      <w:r w:rsidRPr="002639B0">
        <w:rPr>
          <w:b/>
          <w:i/>
        </w:rPr>
        <w:t xml:space="preserve">Policy SA 3.7: </w:t>
      </w:r>
      <w:r w:rsidRPr="002639B0">
        <w:rPr>
          <w:i/>
        </w:rPr>
        <w:t xml:space="preserve">Monitor ongoing efforts by FEMA and the California Department of Water Resources to update flood hazard maps within the City of Cotati and Sonoma County.  </w:t>
      </w:r>
    </w:p>
    <w:p w:rsidR="006C4831" w:rsidRPr="002639B0" w:rsidRDefault="006C4831" w:rsidP="006C4831">
      <w:pPr>
        <w:pStyle w:val="Policy"/>
        <w:ind w:left="0"/>
        <w:rPr>
          <w:i/>
        </w:rPr>
      </w:pPr>
      <w:r w:rsidRPr="002639B0">
        <w:rPr>
          <w:b/>
          <w:i/>
        </w:rPr>
        <w:t xml:space="preserve">Policy SA 3.8: </w:t>
      </w:r>
      <w:r w:rsidRPr="002639B0">
        <w:rPr>
          <w:i/>
        </w:rPr>
        <w:t xml:space="preserve">Encourage and accommodate multipurpose flood control projects that incorporate recreation, resource conservation, preservation of natural riparian habitat, and scenic values of the City’s streams, creeks and wetland/riparian areas.  Where appropriate and feasible, the City shall also encourage the use of flood and/or stormwater retention facilities for use as groundwater recharge facilities.  </w:t>
      </w:r>
    </w:p>
    <w:p w:rsidR="006C4831" w:rsidRPr="002639B0" w:rsidRDefault="006C4831" w:rsidP="006C4831">
      <w:pPr>
        <w:pStyle w:val="Policy"/>
        <w:ind w:left="0"/>
        <w:rPr>
          <w:i/>
        </w:rPr>
      </w:pPr>
      <w:r w:rsidRPr="002639B0">
        <w:rPr>
          <w:b/>
          <w:i/>
        </w:rPr>
        <w:t>Policy SA 3.9:</w:t>
      </w:r>
      <w:r w:rsidRPr="002639B0">
        <w:rPr>
          <w:i/>
        </w:rPr>
        <w:t xml:space="preserve">  Encourage flood control measures that respect natural drainage features, vegetation and natural waterways, while still providing for adequate flood control and protection.  </w:t>
      </w:r>
    </w:p>
    <w:p w:rsidR="006C4831" w:rsidRPr="002639B0" w:rsidRDefault="006C4831" w:rsidP="006C4831">
      <w:pPr>
        <w:pStyle w:val="Policy"/>
        <w:ind w:left="0"/>
        <w:rPr>
          <w:bCs w:val="0"/>
          <w:i/>
        </w:rPr>
      </w:pPr>
      <w:r w:rsidRPr="002639B0">
        <w:rPr>
          <w:b/>
          <w:i/>
        </w:rPr>
        <w:t>Policy SA 3.10:</w:t>
      </w:r>
      <w:r w:rsidRPr="002639B0">
        <w:rPr>
          <w:bCs w:val="0"/>
          <w:i/>
        </w:rPr>
        <w:t xml:space="preserve"> Continue </w:t>
      </w:r>
      <w:r w:rsidRPr="002639B0">
        <w:rPr>
          <w:i/>
        </w:rPr>
        <w:t>efforts</w:t>
      </w:r>
      <w:r w:rsidRPr="002639B0">
        <w:rPr>
          <w:bCs w:val="0"/>
          <w:i/>
        </w:rPr>
        <w:t xml:space="preserve"> to eliminate flooding, by upgrading and expanding the storm drainage system.</w:t>
      </w:r>
    </w:p>
    <w:p w:rsidR="006C4831" w:rsidRPr="002639B0" w:rsidRDefault="006C4831" w:rsidP="006C4831">
      <w:pPr>
        <w:pStyle w:val="Policy"/>
        <w:ind w:left="0"/>
        <w:rPr>
          <w:bCs w:val="0"/>
          <w:i/>
        </w:rPr>
      </w:pPr>
      <w:r w:rsidRPr="002639B0">
        <w:rPr>
          <w:b/>
          <w:i/>
        </w:rPr>
        <w:t>Policy SA 3.11:</w:t>
      </w:r>
      <w:r w:rsidRPr="002639B0">
        <w:rPr>
          <w:bCs w:val="0"/>
          <w:i/>
        </w:rPr>
        <w:t xml:space="preserve"> Ensure that new development or governmental action does not compound the potential for flooding. </w:t>
      </w:r>
    </w:p>
    <w:p w:rsidR="006C4831" w:rsidRPr="002639B0" w:rsidRDefault="006C4831" w:rsidP="006C4831">
      <w:pPr>
        <w:pStyle w:val="Policy"/>
        <w:ind w:left="0"/>
        <w:rPr>
          <w:bCs w:val="0"/>
          <w:i/>
        </w:rPr>
      </w:pPr>
      <w:r w:rsidRPr="002639B0">
        <w:rPr>
          <w:b/>
          <w:i/>
        </w:rPr>
        <w:lastRenderedPageBreak/>
        <w:t>Policy SA 3.12:</w:t>
      </w:r>
      <w:r w:rsidRPr="002639B0">
        <w:rPr>
          <w:bCs w:val="0"/>
          <w:i/>
        </w:rPr>
        <w:t xml:space="preserve"> Require all new developments in the city to be designed to minimize vegetation removal, soil compaction, and site coverage.</w:t>
      </w:r>
    </w:p>
    <w:p w:rsidR="006C4831" w:rsidRDefault="006C4831" w:rsidP="006C4831">
      <w:pPr>
        <w:pStyle w:val="Policy"/>
        <w:ind w:left="0"/>
        <w:rPr>
          <w:bCs w:val="0"/>
          <w:i/>
        </w:rPr>
      </w:pPr>
      <w:r w:rsidRPr="002639B0">
        <w:rPr>
          <w:b/>
          <w:i/>
        </w:rPr>
        <w:t>Policy SA 3.13:</w:t>
      </w:r>
      <w:r w:rsidRPr="002639B0">
        <w:rPr>
          <w:bCs w:val="0"/>
          <w:i/>
        </w:rPr>
        <w:t xml:space="preserve"> Ensure that adequate drainage and erosion controls are provided during construction of all new developments.</w:t>
      </w:r>
    </w:p>
    <w:p w:rsidR="006C4831" w:rsidRPr="00245684" w:rsidRDefault="006C4831" w:rsidP="006C4831">
      <w:pPr>
        <w:rPr>
          <w:i/>
          <w:u w:val="single"/>
        </w:rPr>
      </w:pPr>
      <w:r w:rsidRPr="00245684">
        <w:rPr>
          <w:i/>
          <w:u w:val="single"/>
        </w:rPr>
        <w:t>Actions</w:t>
      </w:r>
    </w:p>
    <w:p w:rsidR="006C4831" w:rsidRPr="002639B0" w:rsidRDefault="006C4831" w:rsidP="006C4831">
      <w:pPr>
        <w:pStyle w:val="Action"/>
        <w:spacing w:after="120"/>
        <w:ind w:left="0"/>
      </w:pPr>
      <w:r w:rsidRPr="002639B0">
        <w:rPr>
          <w:u w:val="single"/>
        </w:rPr>
        <w:t>Action CON 1f:</w:t>
      </w:r>
      <w:r w:rsidRPr="002639B0">
        <w:t xml:space="preserve">  Utilize existing regulations and procedures, including but not limited to the Land Use Code, Design Review, and the environmental review process (CEQA) to conserve wetlands and riparian habitat within the City and the Urban Growth Boundary.  Comply with the federal and state requirements, including no net loss of wetlands using mitigation strategies such as:</w:t>
      </w:r>
    </w:p>
    <w:p w:rsidR="006C4831" w:rsidRPr="002639B0" w:rsidRDefault="006C4831" w:rsidP="006C4831">
      <w:pPr>
        <w:pStyle w:val="Action"/>
        <w:numPr>
          <w:ilvl w:val="0"/>
          <w:numId w:val="12"/>
        </w:numPr>
        <w:spacing w:after="120"/>
        <w:ind w:left="720"/>
        <w:jc w:val="both"/>
      </w:pPr>
      <w:r w:rsidRPr="002639B0">
        <w:t>Avoidance of wetlands and riparian habitat through site design;</w:t>
      </w:r>
    </w:p>
    <w:p w:rsidR="006C4831" w:rsidRPr="002639B0" w:rsidRDefault="006C4831" w:rsidP="006C4831">
      <w:pPr>
        <w:pStyle w:val="Action"/>
        <w:numPr>
          <w:ilvl w:val="0"/>
          <w:numId w:val="12"/>
        </w:numPr>
        <w:spacing w:after="120"/>
        <w:ind w:left="720"/>
        <w:jc w:val="both"/>
      </w:pPr>
      <w:r w:rsidRPr="002639B0">
        <w:t>Clustered development;</w:t>
      </w:r>
    </w:p>
    <w:p w:rsidR="006C4831" w:rsidRPr="002639B0" w:rsidRDefault="006C4831" w:rsidP="006C4831">
      <w:pPr>
        <w:pStyle w:val="Action"/>
        <w:numPr>
          <w:ilvl w:val="0"/>
          <w:numId w:val="12"/>
        </w:numPr>
        <w:spacing w:after="120"/>
        <w:ind w:left="720"/>
        <w:jc w:val="both"/>
      </w:pPr>
      <w:r w:rsidRPr="002639B0">
        <w:t>Transfer of development rights; and/or</w:t>
      </w:r>
    </w:p>
    <w:p w:rsidR="006C4831" w:rsidRPr="002639B0" w:rsidRDefault="006C4831" w:rsidP="006C4831">
      <w:pPr>
        <w:pStyle w:val="Action"/>
        <w:numPr>
          <w:ilvl w:val="0"/>
          <w:numId w:val="12"/>
        </w:numPr>
        <w:ind w:left="720"/>
        <w:jc w:val="both"/>
      </w:pPr>
      <w:r w:rsidRPr="002639B0">
        <w:t xml:space="preserve">Compensatory mitigation, such as habitat restoration or habitat creation. </w:t>
      </w:r>
    </w:p>
    <w:p w:rsidR="006C4831" w:rsidRPr="002639B0" w:rsidRDefault="006C4831" w:rsidP="006C4831">
      <w:pPr>
        <w:pStyle w:val="Action"/>
        <w:ind w:left="0"/>
      </w:pPr>
      <w:r w:rsidRPr="002639B0">
        <w:rPr>
          <w:u w:val="single"/>
        </w:rPr>
        <w:t>Action CON 1g:</w:t>
      </w:r>
      <w:r>
        <w:rPr>
          <w:b/>
        </w:rPr>
        <w:t xml:space="preserve"> </w:t>
      </w:r>
      <w:r w:rsidRPr="002639B0">
        <w:t xml:space="preserve">Coordinate with the California Department of Fish and Game and Sonoma County to identify potentially impacted aquatic habitat within the Urban Growth Boundary and to develop riparian management guidelines to be implemented by development, recreation, and other projects adjacent to creeks, streams and other waterways.  </w:t>
      </w:r>
    </w:p>
    <w:p w:rsidR="006C4831" w:rsidRPr="002639B0" w:rsidRDefault="006C4831" w:rsidP="006C4831">
      <w:pPr>
        <w:pStyle w:val="Action"/>
        <w:ind w:left="0"/>
      </w:pPr>
      <w:r w:rsidRPr="002639B0">
        <w:rPr>
          <w:u w:val="single"/>
        </w:rPr>
        <w:t>Action CON 1h</w:t>
      </w:r>
      <w:r>
        <w:t xml:space="preserve">: </w:t>
      </w:r>
      <w:r w:rsidRPr="002639B0">
        <w:t xml:space="preserve">Periodically review, and update if necessary, Chapter 17.56 of the Cotati Municipal Code to ensure that the most appropriate requirements and best management practices are implemented to protect and restore wetland resources in the Planning Area.   </w:t>
      </w:r>
    </w:p>
    <w:p w:rsidR="006C4831" w:rsidRPr="002639B0" w:rsidRDefault="006C4831" w:rsidP="006C4831">
      <w:pPr>
        <w:pStyle w:val="Action"/>
        <w:ind w:left="0"/>
      </w:pPr>
      <w:r w:rsidRPr="002639B0">
        <w:rPr>
          <w:u w:val="single"/>
        </w:rPr>
        <w:t>Action CON 1i</w:t>
      </w:r>
      <w:r>
        <w:t xml:space="preserve">: </w:t>
      </w:r>
      <w:r w:rsidRPr="002639B0">
        <w:t>Provide a Conservation Page (or similar page) on the City’s website provides links to resource agencies (CDFG, USFWS, USACE, etc.) and provides information regarding local and regional conservation and environmental programs, to the extent the City has readily available information.</w:t>
      </w:r>
    </w:p>
    <w:p w:rsidR="006C4831" w:rsidRPr="002639B0" w:rsidRDefault="006C4831" w:rsidP="006C4831">
      <w:pPr>
        <w:pStyle w:val="Action"/>
        <w:ind w:left="0"/>
        <w:rPr>
          <w:bCs w:val="0"/>
        </w:rPr>
      </w:pPr>
      <w:r w:rsidRPr="002639B0">
        <w:rPr>
          <w:u w:val="single"/>
        </w:rPr>
        <w:t>Action CON 1j:</w:t>
      </w:r>
      <w:r w:rsidRPr="002639B0">
        <w:rPr>
          <w:b/>
        </w:rPr>
        <w:t xml:space="preserve"> </w:t>
      </w:r>
      <w:r w:rsidRPr="002639B0">
        <w:rPr>
          <w:bCs w:val="0"/>
        </w:rPr>
        <w:t>Coordinate with interested public and private entities to create new and expanded public access trails along creeks and streams that connect to parks and open space areas within the Urban Growth Boundary.</w:t>
      </w:r>
    </w:p>
    <w:p w:rsidR="006C4831" w:rsidRPr="002639B0" w:rsidRDefault="006C4831" w:rsidP="006C4831">
      <w:pPr>
        <w:pStyle w:val="Action"/>
        <w:ind w:left="0"/>
      </w:pPr>
      <w:r w:rsidRPr="002639B0">
        <w:rPr>
          <w:u w:val="single"/>
        </w:rPr>
        <w:t>Action CON 1k</w:t>
      </w:r>
      <w:r w:rsidRPr="002639B0">
        <w:t xml:space="preserve">: Continue to identify which stormwater and drainage facilities are in need of repair and </w:t>
      </w:r>
      <w:r w:rsidRPr="002639B0">
        <w:rPr>
          <w:bCs w:val="0"/>
        </w:rPr>
        <w:t>address</w:t>
      </w:r>
      <w:r w:rsidRPr="002639B0">
        <w:t xml:space="preserve"> these needs through the CIP process. </w:t>
      </w:r>
    </w:p>
    <w:p w:rsidR="001309C7" w:rsidRDefault="006C4831">
      <w:pPr>
        <w:pStyle w:val="Action"/>
        <w:ind w:left="0"/>
      </w:pPr>
      <w:r w:rsidRPr="002639B0">
        <w:rPr>
          <w:u w:val="single"/>
        </w:rPr>
        <w:t>Action SA 3a:</w:t>
      </w:r>
      <w:r>
        <w:t xml:space="preserve"> Periodically review, and update as needed, the Cotati Storm Drain Master Plan, and continue to require new development projects to construct and implement all applicable </w:t>
      </w:r>
      <w:r w:rsidR="00DD1F92">
        <w:t xml:space="preserve">improvements, as well as </w:t>
      </w:r>
      <w:r>
        <w:t>standards contained in the Santa Rosa LID Manual, or equivalent document that implements the City’s storm</w:t>
      </w:r>
      <w:r w:rsidR="00DD1F92">
        <w:t xml:space="preserve"> </w:t>
      </w:r>
      <w:r>
        <w:t xml:space="preserve">waterstormwater permit.  </w:t>
      </w:r>
    </w:p>
    <w:p w:rsidR="006C4831" w:rsidRPr="002639B0" w:rsidRDefault="006C4831" w:rsidP="006C4831">
      <w:pPr>
        <w:pStyle w:val="Action"/>
        <w:ind w:left="0"/>
      </w:pPr>
      <w:r w:rsidRPr="002639B0">
        <w:rPr>
          <w:u w:val="single"/>
        </w:rPr>
        <w:t>Action SA 3b:</w:t>
      </w:r>
      <w:r w:rsidRPr="002639B0">
        <w:t xml:space="preserve">  During preparation of the Capital Improvement Program, review the conditions of bridges, culverts, and other flood control and storm water conveyance infrastructure and include necessary improvements on the CIP to ensure safety of persons in the City and adequate conveyance of flood waters.</w:t>
      </w:r>
    </w:p>
    <w:p w:rsidR="006C4831" w:rsidRPr="002639B0" w:rsidRDefault="006C4831" w:rsidP="006C4831">
      <w:pPr>
        <w:pStyle w:val="Action"/>
        <w:ind w:left="0"/>
      </w:pPr>
      <w:r w:rsidRPr="002639B0">
        <w:rPr>
          <w:u w:val="single"/>
        </w:rPr>
        <w:lastRenderedPageBreak/>
        <w:t>Action SA 3c:</w:t>
      </w:r>
      <w:r w:rsidRPr="002639B0">
        <w:t xml:space="preserve"> Seek State and Federal funding for improvements to existing flood control and drainage infrastructure.  </w:t>
      </w:r>
    </w:p>
    <w:p w:rsidR="006C4831" w:rsidRPr="002639B0" w:rsidRDefault="006C4831" w:rsidP="006C4831">
      <w:pPr>
        <w:pStyle w:val="Action"/>
        <w:ind w:left="0"/>
      </w:pPr>
      <w:r w:rsidRPr="002639B0">
        <w:rPr>
          <w:u w:val="single"/>
        </w:rPr>
        <w:t>Action SA 3d:</w:t>
      </w:r>
      <w:r w:rsidRPr="002639B0">
        <w:t xml:space="preserve"> Review the Cotati Municipal Code, including Chapter 15.04, Floodplain Management, and revise as necessary to ensure that development standards are consistent with the requirements of state law, including Government Code Section 65007.  Development and building standards shall require the following:</w:t>
      </w:r>
    </w:p>
    <w:p w:rsidR="006C4831" w:rsidRPr="002639B0" w:rsidRDefault="006C4831" w:rsidP="006C4831">
      <w:pPr>
        <w:pStyle w:val="Action"/>
        <w:numPr>
          <w:ilvl w:val="0"/>
          <w:numId w:val="14"/>
        </w:numPr>
        <w:ind w:left="634"/>
        <w:jc w:val="both"/>
      </w:pPr>
      <w:r w:rsidRPr="002639B0">
        <w:t xml:space="preserve">New structures proposed for location within the 100-year floodplain shall be elevated one (1) foot or more above the 100-year flood elevation.  </w:t>
      </w:r>
    </w:p>
    <w:p w:rsidR="006C4831" w:rsidRPr="002639B0" w:rsidRDefault="006C4831" w:rsidP="006C4831">
      <w:pPr>
        <w:pStyle w:val="Action"/>
        <w:numPr>
          <w:ilvl w:val="0"/>
          <w:numId w:val="14"/>
        </w:numPr>
        <w:ind w:left="634"/>
        <w:jc w:val="both"/>
      </w:pPr>
      <w:r w:rsidRPr="002639B0">
        <w:t xml:space="preserve">New construction in the 100-year floodplain shall be designed and constructed so that they do not contribute to cumulative flooding problems that could pose a hazard to surrounding landowners or the public.  </w:t>
      </w:r>
    </w:p>
    <w:p w:rsidR="006C4831" w:rsidRPr="002639B0" w:rsidRDefault="006C4831" w:rsidP="006C4831">
      <w:pPr>
        <w:pStyle w:val="Action"/>
        <w:numPr>
          <w:ilvl w:val="0"/>
          <w:numId w:val="14"/>
        </w:numPr>
        <w:ind w:left="634"/>
        <w:jc w:val="both"/>
      </w:pPr>
      <w:r w:rsidRPr="002639B0">
        <w:t xml:space="preserve">Discourage extensive areas of impermeable surfaces and promote the use of permeable materials for surfaces such as driveways and parking lots.  </w:t>
      </w:r>
    </w:p>
    <w:p w:rsidR="006C4831" w:rsidRPr="002639B0" w:rsidRDefault="006C4831" w:rsidP="006C4831">
      <w:pPr>
        <w:pStyle w:val="Action"/>
        <w:numPr>
          <w:ilvl w:val="0"/>
          <w:numId w:val="14"/>
        </w:numPr>
        <w:ind w:left="634"/>
        <w:jc w:val="both"/>
      </w:pPr>
      <w:r w:rsidRPr="002639B0">
        <w:t xml:space="preserve">Ensure new </w:t>
      </w:r>
      <w:proofErr w:type="gramStart"/>
      <w:r w:rsidRPr="002639B0">
        <w:t>development within areas prone to flooding include</w:t>
      </w:r>
      <w:proofErr w:type="gramEnd"/>
      <w:r w:rsidRPr="002639B0">
        <w:t xml:space="preserve"> all-weather access roads or other measures to ensure access during a flood event.  </w:t>
      </w:r>
    </w:p>
    <w:p w:rsidR="006C4831" w:rsidRPr="002639B0" w:rsidRDefault="006C4831" w:rsidP="006C4831">
      <w:pPr>
        <w:pStyle w:val="Action"/>
        <w:ind w:left="0"/>
      </w:pPr>
      <w:r w:rsidRPr="002639B0">
        <w:rPr>
          <w:u w:val="single"/>
        </w:rPr>
        <w:t>Action SA 3e:</w:t>
      </w:r>
      <w:r w:rsidRPr="002639B0">
        <w:t xml:space="preserve"> Work with the Sonoma County Water Agency to maintain adequate and appropriate flood channels.</w:t>
      </w:r>
    </w:p>
    <w:p w:rsidR="006C4831" w:rsidRPr="002639B0" w:rsidRDefault="006C4831" w:rsidP="006C4831">
      <w:pPr>
        <w:pStyle w:val="Action"/>
        <w:ind w:left="0"/>
      </w:pPr>
      <w:r w:rsidRPr="002639B0">
        <w:rPr>
          <w:u w:val="single"/>
        </w:rPr>
        <w:t>Action SA 3f:</w:t>
      </w:r>
      <w:r w:rsidRPr="002639B0">
        <w:t xml:space="preserve"> Maintain unimproved drainage channels on a periodic basis (Public Works).</w:t>
      </w:r>
    </w:p>
    <w:p w:rsidR="006C4831" w:rsidRPr="002639B0" w:rsidRDefault="006C4831" w:rsidP="006C4831">
      <w:pPr>
        <w:pStyle w:val="Action"/>
        <w:ind w:left="0"/>
      </w:pPr>
      <w:r w:rsidRPr="002639B0">
        <w:rPr>
          <w:u w:val="single"/>
        </w:rPr>
        <w:t>Action SA 3g:</w:t>
      </w:r>
      <w:r w:rsidRPr="002639B0">
        <w:t xml:space="preserve"> As part of the development review process, require developers to prepare hydrological studies for all new developments as required by the City Engineer.  Studies shall encompass the project site as well as the entire drainage area.</w:t>
      </w:r>
    </w:p>
    <w:p w:rsidR="006C4831" w:rsidRPr="005038BA" w:rsidRDefault="006C4831" w:rsidP="006C4831">
      <w:pPr>
        <w:pStyle w:val="Action"/>
        <w:ind w:left="0"/>
      </w:pPr>
      <w:r w:rsidRPr="002639B0">
        <w:rPr>
          <w:u w:val="single"/>
        </w:rPr>
        <w:t>Action SA 3h:</w:t>
      </w:r>
      <w:r w:rsidRPr="002639B0">
        <w:t xml:space="preserve"> Review the Safety Element concurrently with the periodically updated Housing Element to update any new information regarding floodplain mapping and/or regulations to ensure consistency with Federal and State requirements.</w:t>
      </w:r>
      <w:r w:rsidRPr="005038BA">
        <w:t xml:space="preserve">    </w:t>
      </w:r>
    </w:p>
    <w:p w:rsidR="006C4831" w:rsidRPr="001E7CDC" w:rsidRDefault="006C4831" w:rsidP="006C4831">
      <w:pPr>
        <w:pStyle w:val="Heading4"/>
      </w:pPr>
      <w:r w:rsidRPr="001E7CDC">
        <w:t xml:space="preserve">Impact </w:t>
      </w:r>
      <w:r>
        <w:t>3.8-</w:t>
      </w:r>
      <w:r w:rsidRPr="001E7CDC">
        <w:t xml:space="preserve">4 General Plan </w:t>
      </w:r>
      <w:r>
        <w:t>i</w:t>
      </w:r>
      <w:r w:rsidRPr="001E7CDC">
        <w:t xml:space="preserve">mplementation </w:t>
      </w:r>
      <w:r>
        <w:t>c</w:t>
      </w:r>
      <w:r w:rsidRPr="001E7CDC">
        <w:t xml:space="preserve">ould </w:t>
      </w:r>
      <w:r>
        <w:t>o</w:t>
      </w:r>
      <w:r w:rsidRPr="001E7CDC">
        <w:t xml:space="preserve">therwise </w:t>
      </w:r>
      <w:r>
        <w:t>s</w:t>
      </w:r>
      <w:r w:rsidRPr="001E7CDC">
        <w:t xml:space="preserve">ubstantially </w:t>
      </w:r>
      <w:r>
        <w:t>d</w:t>
      </w:r>
      <w:r w:rsidRPr="001E7CDC">
        <w:t xml:space="preserve">egrade </w:t>
      </w:r>
      <w:r>
        <w:t>w</w:t>
      </w:r>
      <w:r w:rsidRPr="001E7CDC">
        <w:t xml:space="preserve">ater </w:t>
      </w:r>
      <w:r>
        <w:t>q</w:t>
      </w:r>
      <w:r w:rsidRPr="001E7CDC">
        <w:t>uality (Less than Significant)</w:t>
      </w:r>
    </w:p>
    <w:p w:rsidR="006C4831" w:rsidRPr="001E7CDC" w:rsidRDefault="006C4831" w:rsidP="006C4831">
      <w:r w:rsidRPr="001E7CDC">
        <w:rPr>
          <w:b/>
          <w:i/>
        </w:rPr>
        <w:t>Water Quality Impacts from Discharges to 303(d) Listed Water Bodies:</w:t>
      </w:r>
      <w:r w:rsidRPr="001E7CDC">
        <w:t xml:space="preserve"> Section 303(d) of the federal Clean Water Act requires States to identify waters that do not meet water quality standards or objectives and thus, are considered "impaired." Once listed, Section 303(d) mandates prioritization and development of a Total Maximum Daily Load (TMDL). The TMDL is a tool that establishes the allowable loadings or other quantifiable parameters for a waterbody and thereby the basis for the States to establish water quality-based controls. The purpose of TMDLs is to ensure that beneficial uses are restored and that water quality objectives are achieved.</w:t>
      </w:r>
    </w:p>
    <w:p w:rsidR="006C4831" w:rsidRDefault="006C4831" w:rsidP="006C4831">
      <w:r w:rsidRPr="00337913">
        <w:t xml:space="preserve">The City of Cotati has one water body listed on the 2010 Section 303(d) list of impaired water bodies. The Laguna de Santa Rosa is listed as a Category 5 segment, which means it is a water segment where standards are not met and a TMDL is required, but not yet completed, for at least one </w:t>
      </w:r>
      <w:r w:rsidRPr="00CA5FD5">
        <w:rPr>
          <w:szCs w:val="24"/>
        </w:rPr>
        <w:t>of</w:t>
      </w:r>
      <w:r w:rsidRPr="00337913">
        <w:t xml:space="preserve"> the pollutants being listed for this segment. The pollutants listed for the segment and their </w:t>
      </w:r>
      <w:r w:rsidRPr="00337913">
        <w:lastRenderedPageBreak/>
        <w:t xml:space="preserve">list date include: indicator bacteria (2008), mercury (2006), nitrogen (1992), dissolved oxygen (1990), phosphorous (1992), sedimentation/siltation (1998), and temperature (2002). The TMDL </w:t>
      </w:r>
      <w:r>
        <w:t>was</w:t>
      </w:r>
      <w:r w:rsidRPr="00337913">
        <w:t xml:space="preserve"> scheduled for completion on each of these pollutants in 2012, except for mercury, which is scheduled for 2019 (Department of Water Resources, 2010).</w:t>
      </w:r>
      <w:r>
        <w:t xml:space="preserve"> According to the North Coast Regional Water Quality Control Board’s website, (accessed June 12, 2014) TMDL efforts due for completion in 2012 remain ongoing.</w:t>
      </w:r>
    </w:p>
    <w:p w:rsidR="006C4831" w:rsidRPr="00CA5FD5" w:rsidRDefault="006C4831" w:rsidP="006C4831">
      <w:pPr>
        <w:rPr>
          <w:szCs w:val="24"/>
        </w:rPr>
      </w:pPr>
      <w:r>
        <w:t xml:space="preserve">The General Plan Conservation Element includes numerous policies specifically designed to address water quality. </w:t>
      </w:r>
      <w:r w:rsidRPr="00CA5FD5">
        <w:rPr>
          <w:szCs w:val="24"/>
        </w:rPr>
        <w:t xml:space="preserve">Policy CON 1.8 requires the conservation of </w:t>
      </w:r>
      <w:r w:rsidRPr="00CA5FD5">
        <w:t>riparian habitat along local creeks, including but not limited to the Laguna de Santa Rosa and Cotati Creek, in order to maintain suitable habitat for na</w:t>
      </w:r>
      <w:r>
        <w:t xml:space="preserve">tive fish and plant species. </w:t>
      </w:r>
      <w:r w:rsidRPr="00CA5FD5">
        <w:rPr>
          <w:szCs w:val="24"/>
        </w:rPr>
        <w:t xml:space="preserve">Policy CON 1.9 requires protection and enhancement of </w:t>
      </w:r>
      <w:r w:rsidRPr="00CA5FD5">
        <w:t xml:space="preserve">streams, channels, seasonal and permanent marshland, wetlands, sloughs, riparian habitat, and vernal pools through sound land use planning, community design, and site planning.  </w:t>
      </w:r>
      <w:r w:rsidRPr="00CA5FD5">
        <w:rPr>
          <w:szCs w:val="24"/>
        </w:rPr>
        <w:t>Policy CON 1.10 requires the City to s</w:t>
      </w:r>
      <w:r w:rsidRPr="00CA5FD5">
        <w:t>upport rehabilitation of existing channelized waterways, as feasible, to remove concrete linings and allow for a connection with the stream channel and the natural water table. It also requires the City to avoid creating additional channelized waterways, unless no other alternative is available to protect human health, safety, and welfare.</w:t>
      </w:r>
      <w:r>
        <w:t xml:space="preserve"> </w:t>
      </w:r>
      <w:r w:rsidRPr="00CA5FD5">
        <w:rPr>
          <w:szCs w:val="24"/>
        </w:rPr>
        <w:t xml:space="preserve">Policy CON 1.11 requires the City to support restoration of existing channelized waterways to a more natural condition.  Restoration efforts should provide for naturalized hydraulic functioning. Restoration should also promote the growth of riparian vegetation to effectively stabilize banks, screen pollutants from runoff entering the channel, enhance fisheries, and provide other opportunities for natural </w:t>
      </w:r>
      <w:r w:rsidRPr="00CA5FD5">
        <w:t>habitat</w:t>
      </w:r>
      <w:r w:rsidRPr="00CA5FD5">
        <w:rPr>
          <w:szCs w:val="24"/>
        </w:rPr>
        <w:t xml:space="preserve"> restoration.</w:t>
      </w:r>
      <w:r w:rsidRPr="00CA5FD5">
        <w:t xml:space="preserve"> </w:t>
      </w:r>
      <w:r w:rsidRPr="00CA5FD5">
        <w:rPr>
          <w:szCs w:val="24"/>
        </w:rPr>
        <w:t xml:space="preserve">Policy CON 1.12 requires discretionary projects, as well as new flood control and stormwater conveyance projects, to integrate best management practices (BMPs) and natural features to the greatest extent feasible, while ensuring that these features adequately convey and control stormwater to protect human health, safety, and welfare.  Policy CON 1.13 requires the City to prioritize the use of natural features such as bioswales, vegetation, retention ponds, and other measures to remove surface water pollutants prior to discharge into surface waters.  Policy CON 1.14 requires new development adjacent to creeks and streams to include opportunities for beneficial uses, such as flood control, ecological restoration activities, public access trails, and walkways. </w:t>
      </w:r>
    </w:p>
    <w:p w:rsidR="006C4831" w:rsidRPr="00CA5FD5" w:rsidRDefault="006C4831" w:rsidP="006C4831">
      <w:r w:rsidRPr="00CA5FD5">
        <w:t xml:space="preserve">Based upon the general planning nature of the General Plan, development of detailed, site-specific information on this impact at this planning level is not feasible. However, </w:t>
      </w:r>
      <w:r>
        <w:t>all</w:t>
      </w:r>
      <w:r w:rsidRPr="00CA5FD5">
        <w:t xml:space="preserve"> future development project</w:t>
      </w:r>
      <w:r>
        <w:t>s</w:t>
      </w:r>
      <w:r w:rsidRPr="00CA5FD5">
        <w:t xml:space="preserve"> </w:t>
      </w:r>
      <w:r>
        <w:t>are</w:t>
      </w:r>
      <w:r w:rsidRPr="00CA5FD5">
        <w:t xml:space="preserve"> required to prepare a detailed project specific </w:t>
      </w:r>
      <w:r>
        <w:t>erosion control</w:t>
      </w:r>
      <w:r w:rsidRPr="00CA5FD5">
        <w:t xml:space="preserve"> plan </w:t>
      </w:r>
      <w:r>
        <w:t xml:space="preserve">and incorporate post-construction water quality BMPs into grading plans, in compliance with </w:t>
      </w:r>
      <w:r w:rsidR="00DD1F92">
        <w:t xml:space="preserve">City regulations and </w:t>
      </w:r>
      <w:r>
        <w:t xml:space="preserve">the Santa Rosa LID Manual.  Projects that would result in the disturbance of one or more acres are required to prepare </w:t>
      </w:r>
      <w:r w:rsidRPr="00CA5FD5">
        <w:t xml:space="preserve">a Storm Water Pollution Prevention Plan (SWPPP) that will control storm water runoff and erosion, both during and after construction. If the project involves the discharge of dewatering into surface waters the project proponent will need to acquire a Dewatering Permit, NPDES permit and Waste Discharge permit from the RWQCB. Implementation of the General Plan policies and action measures would ensure that the General Plan would have a </w:t>
      </w:r>
      <w:r w:rsidRPr="00CA5FD5">
        <w:rPr>
          <w:b/>
        </w:rPr>
        <w:t>less than significant</w:t>
      </w:r>
      <w:r w:rsidRPr="00CA5FD5">
        <w:t xml:space="preserve"> impact from these issues.</w:t>
      </w:r>
    </w:p>
    <w:p w:rsidR="006C4831" w:rsidRPr="00245684" w:rsidRDefault="006C4831" w:rsidP="006C4831">
      <w:pPr>
        <w:pStyle w:val="Heading5"/>
        <w:spacing w:after="120"/>
        <w:rPr>
          <w:b/>
          <w:sz w:val="24"/>
        </w:rPr>
      </w:pPr>
      <w:r w:rsidRPr="00245684">
        <w:rPr>
          <w:b/>
          <w:sz w:val="24"/>
        </w:rPr>
        <w:lastRenderedPageBreak/>
        <w:t>2013 General Plan Policies and Actions that Mitigate Potential Impacts</w:t>
      </w:r>
    </w:p>
    <w:p w:rsidR="006C4831" w:rsidRPr="00A26723" w:rsidRDefault="006C4831" w:rsidP="006C4831">
      <w:pPr>
        <w:rPr>
          <w:i/>
          <w:u w:val="single"/>
        </w:rPr>
      </w:pPr>
      <w:r>
        <w:rPr>
          <w:i/>
          <w:u w:val="single"/>
        </w:rPr>
        <w:t>Policies</w:t>
      </w:r>
    </w:p>
    <w:p w:rsidR="006C4831" w:rsidRDefault="006C4831" w:rsidP="006C4831">
      <w:pPr>
        <w:pStyle w:val="Policy"/>
        <w:ind w:left="0"/>
        <w:rPr>
          <w:i/>
        </w:rPr>
      </w:pPr>
      <w:r w:rsidRPr="005038BA">
        <w:rPr>
          <w:rFonts w:eastAsia="Calibri"/>
          <w:b/>
          <w:bCs w:val="0"/>
          <w:i/>
          <w:szCs w:val="22"/>
        </w:rPr>
        <w:t>Policy CON 1.8:</w:t>
      </w:r>
      <w:r w:rsidRPr="005038BA">
        <w:rPr>
          <w:b/>
          <w:i/>
        </w:rPr>
        <w:t xml:space="preserve"> </w:t>
      </w:r>
      <w:r w:rsidRPr="005038BA">
        <w:rPr>
          <w:i/>
        </w:rPr>
        <w:t xml:space="preserve">Conserve riparian habitat along local creeks, including but not limited to the Laguna de Santa Rosa and Cotati Creek, in order to maintain suitable habitat for native fish and plant species.    </w:t>
      </w:r>
    </w:p>
    <w:p w:rsidR="006C4831" w:rsidRPr="005038BA" w:rsidRDefault="006C4831" w:rsidP="006C4831">
      <w:pPr>
        <w:pStyle w:val="Policy"/>
        <w:tabs>
          <w:tab w:val="clear" w:pos="720"/>
        </w:tabs>
        <w:ind w:left="0"/>
        <w:rPr>
          <w:i/>
        </w:rPr>
      </w:pPr>
      <w:r w:rsidRPr="005038BA">
        <w:rPr>
          <w:rFonts w:eastAsia="Calibri"/>
          <w:b/>
          <w:bCs w:val="0"/>
          <w:i/>
          <w:szCs w:val="22"/>
        </w:rPr>
        <w:t>Policy CON 1.9:</w:t>
      </w:r>
      <w:r w:rsidRPr="005038BA">
        <w:rPr>
          <w:i/>
        </w:rPr>
        <w:t xml:space="preserve">  Protect and enhance streams, channels, seasonal and permanent marshland, wetlands, sloughs, riparian habitat, and vernal pools through sound land use planning, community design, and site planning.  </w:t>
      </w:r>
    </w:p>
    <w:p w:rsidR="006C4831" w:rsidRPr="005038BA" w:rsidRDefault="006C4831" w:rsidP="006C4831">
      <w:pPr>
        <w:pStyle w:val="Policy"/>
        <w:tabs>
          <w:tab w:val="clear" w:pos="720"/>
        </w:tabs>
        <w:ind w:left="0"/>
        <w:rPr>
          <w:i/>
        </w:rPr>
      </w:pPr>
      <w:r w:rsidRPr="005038BA">
        <w:rPr>
          <w:rFonts w:eastAsia="Calibri"/>
          <w:b/>
          <w:bCs w:val="0"/>
          <w:i/>
          <w:szCs w:val="22"/>
        </w:rPr>
        <w:t>Policy CON 1.10:</w:t>
      </w:r>
      <w:r w:rsidRPr="005038BA">
        <w:rPr>
          <w:b/>
          <w:i/>
        </w:rPr>
        <w:t xml:space="preserve">  </w:t>
      </w:r>
      <w:r w:rsidRPr="005038BA">
        <w:rPr>
          <w:i/>
        </w:rPr>
        <w:t xml:space="preserve">Support rehabilitation of existing </w:t>
      </w:r>
      <w:r>
        <w:rPr>
          <w:i/>
        </w:rPr>
        <w:t xml:space="preserve">open </w:t>
      </w:r>
      <w:r w:rsidRPr="005038BA">
        <w:rPr>
          <w:i/>
        </w:rPr>
        <w:t>channelized waterways, as feasible, to remove concrete linings and allow for a connection with the stream channel and the natural water table. Avoid creating additional channelized waterways, unless no other alternative is available to protect human health, safety, and welfare.</w:t>
      </w:r>
    </w:p>
    <w:p w:rsidR="006C4831" w:rsidRPr="005038BA" w:rsidRDefault="006C4831" w:rsidP="006C4831">
      <w:pPr>
        <w:pStyle w:val="Policy"/>
        <w:tabs>
          <w:tab w:val="clear" w:pos="720"/>
        </w:tabs>
        <w:ind w:left="0"/>
        <w:rPr>
          <w:rFonts w:eastAsia="Calibri"/>
          <w:bCs w:val="0"/>
          <w:i/>
          <w:szCs w:val="22"/>
        </w:rPr>
      </w:pPr>
      <w:r w:rsidRPr="005038BA">
        <w:rPr>
          <w:rFonts w:eastAsia="Calibri"/>
          <w:b/>
          <w:bCs w:val="0"/>
          <w:i/>
          <w:szCs w:val="22"/>
        </w:rPr>
        <w:t xml:space="preserve">Policy CON 1.11:  </w:t>
      </w:r>
      <w:r w:rsidRPr="005038BA">
        <w:rPr>
          <w:rFonts w:eastAsia="Calibri"/>
          <w:bCs w:val="0"/>
          <w:i/>
          <w:szCs w:val="22"/>
        </w:rPr>
        <w:t xml:space="preserve">Where feasible, support restoration of existing </w:t>
      </w:r>
      <w:r>
        <w:rPr>
          <w:rFonts w:eastAsia="Calibri"/>
          <w:bCs w:val="0"/>
          <w:i/>
          <w:szCs w:val="22"/>
        </w:rPr>
        <w:t xml:space="preserve">open </w:t>
      </w:r>
      <w:r w:rsidRPr="005038BA">
        <w:rPr>
          <w:rFonts w:eastAsia="Calibri"/>
          <w:bCs w:val="0"/>
          <w:i/>
          <w:szCs w:val="22"/>
        </w:rPr>
        <w:t>channelized waterways to a more natural condition.  Restoration efforts should provide for naturalized hydraulic functioning. Restoration should also promote the growth of riparian vegetation to effectively stabilize banks, screen pollutants from runoff entering the channel, enhance fisheries, and provide other opportunities for natural habitat restoration.</w:t>
      </w:r>
    </w:p>
    <w:p w:rsidR="006C4831" w:rsidRPr="005038BA" w:rsidRDefault="006C4831" w:rsidP="006C4831">
      <w:pPr>
        <w:pStyle w:val="Policy"/>
        <w:tabs>
          <w:tab w:val="clear" w:pos="720"/>
        </w:tabs>
        <w:ind w:left="0"/>
        <w:rPr>
          <w:rFonts w:eastAsia="Calibri"/>
          <w:bCs w:val="0"/>
          <w:i/>
          <w:szCs w:val="22"/>
        </w:rPr>
      </w:pPr>
      <w:r w:rsidRPr="005038BA">
        <w:rPr>
          <w:rFonts w:eastAsia="Calibri"/>
          <w:b/>
          <w:bCs w:val="0"/>
          <w:i/>
          <w:szCs w:val="22"/>
        </w:rPr>
        <w:t>Policy CON 1.12:</w:t>
      </w:r>
      <w:r w:rsidRPr="005038BA">
        <w:rPr>
          <w:rFonts w:eastAsia="Calibri"/>
          <w:bCs w:val="0"/>
          <w:i/>
          <w:szCs w:val="22"/>
        </w:rPr>
        <w:t xml:space="preserve">  Require discretionary projects, as well as new flood control and stormwater conveyance projects, to integrate best management practices (BMPs) and natural features to the greatest extent feasible, while ensuring that these features adequately convey and control stormwater to protect human health, safety, and welfare.  </w:t>
      </w:r>
    </w:p>
    <w:p w:rsidR="006C4831" w:rsidRPr="005038BA" w:rsidRDefault="006C4831" w:rsidP="006C4831">
      <w:pPr>
        <w:pStyle w:val="Policy"/>
        <w:tabs>
          <w:tab w:val="clear" w:pos="720"/>
        </w:tabs>
        <w:ind w:left="0"/>
        <w:rPr>
          <w:rFonts w:eastAsia="Calibri"/>
          <w:bCs w:val="0"/>
          <w:i/>
          <w:szCs w:val="22"/>
        </w:rPr>
      </w:pPr>
      <w:r w:rsidRPr="005038BA">
        <w:rPr>
          <w:rFonts w:eastAsia="Calibri"/>
          <w:b/>
          <w:bCs w:val="0"/>
          <w:i/>
          <w:szCs w:val="22"/>
        </w:rPr>
        <w:t>Policy CON 1.13:</w:t>
      </w:r>
      <w:r w:rsidRPr="005038BA">
        <w:rPr>
          <w:rFonts w:eastAsia="Calibri"/>
          <w:bCs w:val="0"/>
          <w:i/>
          <w:szCs w:val="22"/>
        </w:rPr>
        <w:t xml:space="preserve">  Prioritize the use of natural features such as bioswales, vegetation, retention ponds, and other measures to remove surface water pollutants prior to discharge into surface waters.  </w:t>
      </w:r>
    </w:p>
    <w:p w:rsidR="006C4831" w:rsidRPr="005038BA" w:rsidRDefault="006C4831" w:rsidP="006C4831">
      <w:pPr>
        <w:pStyle w:val="Policy"/>
        <w:tabs>
          <w:tab w:val="clear" w:pos="720"/>
        </w:tabs>
        <w:ind w:left="0"/>
        <w:rPr>
          <w:rFonts w:eastAsia="Calibri"/>
          <w:bCs w:val="0"/>
          <w:i/>
          <w:szCs w:val="22"/>
        </w:rPr>
      </w:pPr>
      <w:r w:rsidRPr="005038BA">
        <w:rPr>
          <w:rFonts w:eastAsia="Calibri"/>
          <w:b/>
          <w:bCs w:val="0"/>
          <w:i/>
          <w:szCs w:val="22"/>
        </w:rPr>
        <w:t>Policy CON 1.14:</w:t>
      </w:r>
      <w:r w:rsidRPr="005038BA">
        <w:rPr>
          <w:rFonts w:eastAsia="Calibri"/>
          <w:bCs w:val="0"/>
          <w:i/>
          <w:szCs w:val="22"/>
        </w:rPr>
        <w:t xml:space="preserve">  New development adjacent to creeks and streams should include opportunities for beneficial uses, such as flood control, ecological restoration activities, publi</w:t>
      </w:r>
      <w:r>
        <w:rPr>
          <w:rFonts w:eastAsia="Calibri"/>
          <w:bCs w:val="0"/>
          <w:i/>
          <w:szCs w:val="22"/>
        </w:rPr>
        <w:t xml:space="preserve">c access trails, and walkways. </w:t>
      </w:r>
    </w:p>
    <w:p w:rsidR="006C4831" w:rsidRPr="00245684" w:rsidRDefault="006C4831" w:rsidP="006C4831">
      <w:pPr>
        <w:rPr>
          <w:i/>
          <w:u w:val="single"/>
        </w:rPr>
      </w:pPr>
      <w:r w:rsidRPr="00245684">
        <w:rPr>
          <w:i/>
          <w:u w:val="single"/>
        </w:rPr>
        <w:t>Actions</w:t>
      </w:r>
    </w:p>
    <w:p w:rsidR="006C4831" w:rsidRPr="005038BA" w:rsidRDefault="006C4831" w:rsidP="006C4831">
      <w:pPr>
        <w:pStyle w:val="Action"/>
        <w:spacing w:after="120"/>
        <w:ind w:left="0"/>
      </w:pPr>
      <w:r w:rsidRPr="005038BA">
        <w:rPr>
          <w:u w:val="single"/>
        </w:rPr>
        <w:t>Action CON 1f:</w:t>
      </w:r>
      <w:r w:rsidRPr="005038BA">
        <w:t xml:space="preserve">  Utilize existing regulations and procedures, including but not limited to the Land Use Code, Design Review, and the environmental review process (CEQA) to conserve wetlands and riparian habitat within the City and the Urban Growth Boundary.  Comply with the federal and state requirements, including no net loss of wetlands using mitigation strategies such as:</w:t>
      </w:r>
    </w:p>
    <w:p w:rsidR="006C4831" w:rsidRPr="005038BA" w:rsidRDefault="006C4831" w:rsidP="006C4831">
      <w:pPr>
        <w:pStyle w:val="Action"/>
        <w:numPr>
          <w:ilvl w:val="0"/>
          <w:numId w:val="16"/>
        </w:numPr>
        <w:spacing w:after="120"/>
        <w:jc w:val="both"/>
      </w:pPr>
      <w:r w:rsidRPr="005038BA">
        <w:t>Avoidance of wetlands and riparian habitat through site design;</w:t>
      </w:r>
    </w:p>
    <w:p w:rsidR="006C4831" w:rsidRPr="005038BA" w:rsidRDefault="006C4831" w:rsidP="006C4831">
      <w:pPr>
        <w:pStyle w:val="Action"/>
        <w:numPr>
          <w:ilvl w:val="0"/>
          <w:numId w:val="16"/>
        </w:numPr>
        <w:spacing w:after="120"/>
        <w:jc w:val="both"/>
      </w:pPr>
      <w:r w:rsidRPr="005038BA">
        <w:t>Clustered development;</w:t>
      </w:r>
    </w:p>
    <w:p w:rsidR="006C4831" w:rsidRPr="005038BA" w:rsidRDefault="006C4831" w:rsidP="006C4831">
      <w:pPr>
        <w:pStyle w:val="Action"/>
        <w:numPr>
          <w:ilvl w:val="0"/>
          <w:numId w:val="16"/>
        </w:numPr>
        <w:spacing w:after="120"/>
        <w:jc w:val="both"/>
      </w:pPr>
      <w:r w:rsidRPr="005038BA">
        <w:t>Transfer of development rights; and/or</w:t>
      </w:r>
    </w:p>
    <w:p w:rsidR="006C4831" w:rsidRPr="005038BA" w:rsidRDefault="006C4831" w:rsidP="006C4831">
      <w:pPr>
        <w:pStyle w:val="Action"/>
        <w:numPr>
          <w:ilvl w:val="0"/>
          <w:numId w:val="16"/>
        </w:numPr>
        <w:jc w:val="both"/>
      </w:pPr>
      <w:r w:rsidRPr="005038BA">
        <w:t xml:space="preserve">Compensatory mitigation, such as habitat restoration or habitat creation. </w:t>
      </w:r>
    </w:p>
    <w:p w:rsidR="006C4831" w:rsidRPr="005038BA" w:rsidRDefault="006C4831" w:rsidP="006C4831">
      <w:pPr>
        <w:pStyle w:val="Action"/>
        <w:ind w:left="0"/>
      </w:pPr>
      <w:r w:rsidRPr="005038BA">
        <w:rPr>
          <w:u w:val="single"/>
        </w:rPr>
        <w:lastRenderedPageBreak/>
        <w:t>Action CON 1g:</w:t>
      </w:r>
      <w:r w:rsidRPr="005038BA">
        <w:rPr>
          <w:b/>
        </w:rPr>
        <w:tab/>
      </w:r>
      <w:r w:rsidRPr="005038BA">
        <w:t xml:space="preserve">Coordinate with the California Department of Fish and Game and Sonoma County to identify potentially impacted aquatic habitat within the Urban Growth Boundary and to develop riparian management guidelines to be implemented by development, recreation, and other projects adjacent to creeks, streams and other waterways.  </w:t>
      </w:r>
    </w:p>
    <w:p w:rsidR="006C4831" w:rsidRPr="005038BA" w:rsidRDefault="006C4831" w:rsidP="006C4831">
      <w:pPr>
        <w:pStyle w:val="Action"/>
        <w:ind w:left="0"/>
      </w:pPr>
      <w:r w:rsidRPr="005038BA">
        <w:rPr>
          <w:u w:val="single"/>
        </w:rPr>
        <w:t>Action CON 1h</w:t>
      </w:r>
      <w:r w:rsidRPr="005038BA">
        <w:t>:</w:t>
      </w:r>
      <w:r w:rsidRPr="005038BA">
        <w:tab/>
        <w:t xml:space="preserve">Periodically review, and update if necessary, Chapter 17.56 of the Cotati Municipal Code to ensure that the most appropriate requirements and best management practices are implemented to protect and restore wetland resources in the Planning Area.   </w:t>
      </w:r>
    </w:p>
    <w:p w:rsidR="006C4831" w:rsidRPr="005038BA" w:rsidRDefault="006C4831" w:rsidP="006C4831">
      <w:pPr>
        <w:pStyle w:val="Action"/>
        <w:ind w:left="0"/>
      </w:pPr>
      <w:r w:rsidRPr="005038BA">
        <w:rPr>
          <w:u w:val="single"/>
        </w:rPr>
        <w:t>Action CON 1i</w:t>
      </w:r>
      <w:r w:rsidRPr="005038BA">
        <w:t>:</w:t>
      </w:r>
      <w:r w:rsidRPr="005038BA">
        <w:tab/>
        <w:t>Provide a Conservation Page (or similar page) on the City’s website provides links to resource agencies (CDFG, USFWS, USACE, etc.) and provides information regarding local and regional conservation and environmental programs, to the extent the City has readily available information.</w:t>
      </w:r>
    </w:p>
    <w:p w:rsidR="006C4831" w:rsidRPr="005038BA" w:rsidRDefault="006C4831" w:rsidP="006C4831">
      <w:pPr>
        <w:pStyle w:val="Action"/>
        <w:ind w:left="0"/>
        <w:rPr>
          <w:bCs w:val="0"/>
        </w:rPr>
      </w:pPr>
      <w:r w:rsidRPr="005038BA">
        <w:rPr>
          <w:u w:val="single"/>
        </w:rPr>
        <w:t>Action CON 1j:</w:t>
      </w:r>
      <w:r w:rsidRPr="005038BA">
        <w:rPr>
          <w:b/>
        </w:rPr>
        <w:tab/>
      </w:r>
      <w:r w:rsidRPr="005038BA">
        <w:rPr>
          <w:bCs w:val="0"/>
        </w:rPr>
        <w:t>Coordinate with interested public and private entities to create new and expanded public access trails along creeks and streams that connect to parks and open space areas within the Urban Growth Boundary.</w:t>
      </w:r>
    </w:p>
    <w:p w:rsidR="006C4831" w:rsidRPr="00406A78" w:rsidRDefault="006C4831" w:rsidP="006C4831">
      <w:pPr>
        <w:pStyle w:val="Action"/>
        <w:ind w:left="0"/>
      </w:pPr>
      <w:r w:rsidRPr="005038BA">
        <w:rPr>
          <w:u w:val="single"/>
        </w:rPr>
        <w:t>Action CON 1k</w:t>
      </w:r>
      <w:r w:rsidRPr="005038BA">
        <w:t>:</w:t>
      </w:r>
      <w:r w:rsidRPr="005038BA">
        <w:tab/>
        <w:t xml:space="preserve">Continue to identify which stormwater and drainage facilities are </w:t>
      </w:r>
      <w:r w:rsidRPr="00406A78">
        <w:t xml:space="preserve">in need of repair and address these needs through the CIP process. </w:t>
      </w:r>
    </w:p>
    <w:p w:rsidR="006C4831" w:rsidRPr="00406A78" w:rsidRDefault="006C4831" w:rsidP="006C4831">
      <w:pPr>
        <w:pStyle w:val="Heading4"/>
      </w:pPr>
      <w:r w:rsidRPr="00406A78">
        <w:t xml:space="preserve">Impact </w:t>
      </w:r>
      <w:r>
        <w:t>3.8-</w:t>
      </w:r>
      <w:r w:rsidRPr="00406A78">
        <w:t>5 General Plan implementation could place housing and structures within a 100-year flood hazard area as mapped on a Federal Flood Hazard Boundary or Flood Insurance Rate Map or other flood hazard delineation map (Less than Significant)</w:t>
      </w:r>
    </w:p>
    <w:p w:rsidR="006C4831" w:rsidRPr="00406A78" w:rsidRDefault="006C4831" w:rsidP="006C4831">
      <w:r w:rsidRPr="00406A78">
        <w:t xml:space="preserve">The City of Cotati is subject to flooding problems along the natural creeks and drainages that traverse the area. The Laguna de Santa Rosa and Cotati Creek are the most prominent drainages in Cotati that are subject to flooding. The 100-year flood plain extends onto many properties that are located immediately adjacent to these drainages. Additionally, land to the west of US 101 in the northern part of the City, and a portion of the Downtown Specific Plan Area, is within the 500 year floodplain. The flood hazards in Cotati are illustrated in Figure </w:t>
      </w:r>
      <w:r>
        <w:t>3.8</w:t>
      </w:r>
      <w:r w:rsidRPr="00406A78">
        <w:t xml:space="preserve">-2. Table </w:t>
      </w:r>
      <w:r>
        <w:t>3.8</w:t>
      </w:r>
      <w:r w:rsidRPr="00406A78">
        <w:t>-4 presents a breakdown of the acreage and percentage of the City, Sphere of Influence, and Urban Growth Boundary that are design</w:t>
      </w:r>
      <w:r>
        <w:t>at</w:t>
      </w:r>
      <w:r w:rsidRPr="00406A78">
        <w:t xml:space="preserve">ed as a FEMA flood zone. </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347"/>
        <w:gridCol w:w="1088"/>
        <w:gridCol w:w="1298"/>
        <w:gridCol w:w="1041"/>
        <w:gridCol w:w="1421"/>
        <w:gridCol w:w="1155"/>
      </w:tblGrid>
      <w:tr w:rsidR="006C4831" w:rsidRPr="00E20A15">
        <w:trPr>
          <w:trHeight w:val="143"/>
          <w:jc w:val="center"/>
        </w:trPr>
        <w:tc>
          <w:tcPr>
            <w:tcW w:w="5000" w:type="pct"/>
            <w:gridSpan w:val="7"/>
            <w:shd w:val="clear" w:color="auto" w:fill="000000"/>
            <w:noWrap/>
            <w:vAlign w:val="center"/>
          </w:tcPr>
          <w:p w:rsidR="006C4831" w:rsidRPr="00E90E46" w:rsidRDefault="006C4831" w:rsidP="006C4831">
            <w:pPr>
              <w:pStyle w:val="Heading7"/>
              <w:rPr>
                <w:szCs w:val="20"/>
              </w:rPr>
            </w:pPr>
            <w:r w:rsidRPr="00E90E46">
              <w:rPr>
                <w:lang w:val="en-US" w:eastAsia="en-US"/>
              </w:rPr>
              <w:br w:type="page"/>
            </w:r>
            <w:r w:rsidRPr="00E90E46">
              <w:rPr>
                <w:color w:val="FFFFFF"/>
                <w:lang w:val="en-US" w:eastAsia="en-US" w:bidi="en-US"/>
              </w:rPr>
              <w:t>Table 3.8-4: FEMA Flood Zone Surface Areas in City of Cotati</w:t>
            </w:r>
          </w:p>
        </w:tc>
      </w:tr>
      <w:tr w:rsidR="006C4831" w:rsidRPr="00E20A1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2" w:type="pct"/>
            <w:tcBorders>
              <w:top w:val="single" w:sz="4" w:space="0" w:color="auto"/>
              <w:left w:val="single" w:sz="4" w:space="0" w:color="auto"/>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b/>
                <w:bCs/>
                <w:color w:val="000000"/>
                <w:sz w:val="20"/>
                <w:szCs w:val="20"/>
              </w:rPr>
            </w:pPr>
            <w:r w:rsidRPr="00E20A15">
              <w:rPr>
                <w:rFonts w:cs="Arial"/>
                <w:b/>
                <w:bCs/>
                <w:color w:val="000000"/>
                <w:sz w:val="20"/>
                <w:szCs w:val="20"/>
              </w:rPr>
              <w:t>Zone</w:t>
            </w:r>
          </w:p>
        </w:tc>
        <w:tc>
          <w:tcPr>
            <w:tcW w:w="752" w:type="pct"/>
            <w:tcBorders>
              <w:top w:val="single" w:sz="4" w:space="0" w:color="auto"/>
              <w:left w:val="nil"/>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b/>
                <w:bCs/>
                <w:color w:val="000000"/>
                <w:sz w:val="20"/>
                <w:szCs w:val="20"/>
              </w:rPr>
            </w:pPr>
            <w:r w:rsidRPr="00E20A15">
              <w:rPr>
                <w:rFonts w:cs="Arial"/>
                <w:b/>
                <w:bCs/>
                <w:color w:val="000000"/>
                <w:sz w:val="20"/>
                <w:szCs w:val="20"/>
              </w:rPr>
              <w:t>Acres - City</w:t>
            </w:r>
          </w:p>
        </w:tc>
        <w:tc>
          <w:tcPr>
            <w:tcW w:w="609" w:type="pct"/>
            <w:tcBorders>
              <w:top w:val="single" w:sz="4" w:space="0" w:color="auto"/>
              <w:left w:val="nil"/>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b/>
                <w:bCs/>
                <w:color w:val="000000"/>
                <w:sz w:val="20"/>
                <w:szCs w:val="20"/>
              </w:rPr>
            </w:pPr>
            <w:r w:rsidRPr="00E20A15">
              <w:rPr>
                <w:rFonts w:cs="Arial"/>
                <w:b/>
                <w:bCs/>
                <w:color w:val="000000"/>
                <w:sz w:val="20"/>
                <w:szCs w:val="20"/>
              </w:rPr>
              <w:t>% of City</w:t>
            </w:r>
          </w:p>
        </w:tc>
        <w:tc>
          <w:tcPr>
            <w:tcW w:w="725" w:type="pct"/>
            <w:tcBorders>
              <w:top w:val="single" w:sz="4" w:space="0" w:color="auto"/>
              <w:left w:val="nil"/>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b/>
                <w:bCs/>
                <w:color w:val="000000"/>
                <w:sz w:val="20"/>
                <w:szCs w:val="20"/>
              </w:rPr>
            </w:pPr>
            <w:r w:rsidRPr="00E20A15">
              <w:rPr>
                <w:rFonts w:cs="Arial"/>
                <w:b/>
                <w:bCs/>
                <w:color w:val="000000"/>
                <w:sz w:val="20"/>
                <w:szCs w:val="20"/>
              </w:rPr>
              <w:t>Acres - SOI</w:t>
            </w:r>
          </w:p>
        </w:tc>
        <w:tc>
          <w:tcPr>
            <w:tcW w:w="583" w:type="pct"/>
            <w:tcBorders>
              <w:top w:val="single" w:sz="4" w:space="0" w:color="auto"/>
              <w:left w:val="nil"/>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b/>
                <w:bCs/>
                <w:color w:val="000000"/>
                <w:sz w:val="20"/>
                <w:szCs w:val="20"/>
              </w:rPr>
            </w:pPr>
            <w:r w:rsidRPr="00E20A15">
              <w:rPr>
                <w:rFonts w:cs="Arial"/>
                <w:b/>
                <w:bCs/>
                <w:color w:val="000000"/>
                <w:sz w:val="20"/>
                <w:szCs w:val="20"/>
              </w:rPr>
              <w:t>% of SOI</w:t>
            </w:r>
          </w:p>
        </w:tc>
        <w:tc>
          <w:tcPr>
            <w:tcW w:w="793" w:type="pct"/>
            <w:tcBorders>
              <w:top w:val="single" w:sz="4" w:space="0" w:color="auto"/>
              <w:left w:val="nil"/>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b/>
                <w:bCs/>
                <w:color w:val="000000"/>
                <w:sz w:val="20"/>
                <w:szCs w:val="20"/>
              </w:rPr>
            </w:pPr>
            <w:r w:rsidRPr="00E20A15">
              <w:rPr>
                <w:rFonts w:cs="Arial"/>
                <w:b/>
                <w:bCs/>
                <w:color w:val="000000"/>
                <w:sz w:val="20"/>
                <w:szCs w:val="20"/>
              </w:rPr>
              <w:t>Acres - UGA</w:t>
            </w:r>
          </w:p>
        </w:tc>
        <w:tc>
          <w:tcPr>
            <w:tcW w:w="645" w:type="pct"/>
            <w:tcBorders>
              <w:top w:val="single" w:sz="4" w:space="0" w:color="auto"/>
              <w:left w:val="nil"/>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b/>
                <w:bCs/>
                <w:color w:val="000000"/>
                <w:sz w:val="20"/>
                <w:szCs w:val="20"/>
              </w:rPr>
            </w:pPr>
            <w:r w:rsidRPr="00E20A15">
              <w:rPr>
                <w:rFonts w:cs="Arial"/>
                <w:b/>
                <w:bCs/>
                <w:color w:val="000000"/>
                <w:sz w:val="20"/>
                <w:szCs w:val="20"/>
              </w:rPr>
              <w:t>% of UGA</w:t>
            </w:r>
          </w:p>
        </w:tc>
      </w:tr>
      <w:tr w:rsidR="006C4831" w:rsidRPr="00E20A1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2" w:type="pct"/>
            <w:tcBorders>
              <w:top w:val="nil"/>
              <w:left w:val="single" w:sz="4" w:space="0" w:color="auto"/>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X (shaded) (500yr)</w:t>
            </w:r>
          </w:p>
        </w:tc>
        <w:tc>
          <w:tcPr>
            <w:tcW w:w="752"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187.10</w:t>
            </w:r>
          </w:p>
        </w:tc>
        <w:tc>
          <w:tcPr>
            <w:tcW w:w="609"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15.4%</w:t>
            </w:r>
          </w:p>
        </w:tc>
        <w:tc>
          <w:tcPr>
            <w:tcW w:w="725"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0.48</w:t>
            </w:r>
          </w:p>
        </w:tc>
        <w:tc>
          <w:tcPr>
            <w:tcW w:w="583"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0.0%</w:t>
            </w:r>
          </w:p>
        </w:tc>
        <w:tc>
          <w:tcPr>
            <w:tcW w:w="793"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30.32</w:t>
            </w:r>
          </w:p>
        </w:tc>
        <w:tc>
          <w:tcPr>
            <w:tcW w:w="645"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8.5%</w:t>
            </w:r>
          </w:p>
        </w:tc>
      </w:tr>
      <w:tr w:rsidR="006C4831" w:rsidRPr="00E20A1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2" w:type="pct"/>
            <w:tcBorders>
              <w:top w:val="nil"/>
              <w:left w:val="single" w:sz="4" w:space="0" w:color="auto"/>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AE (100yr)</w:t>
            </w:r>
          </w:p>
        </w:tc>
        <w:tc>
          <w:tcPr>
            <w:tcW w:w="752"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58.87</w:t>
            </w:r>
          </w:p>
        </w:tc>
        <w:tc>
          <w:tcPr>
            <w:tcW w:w="609"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4.8%</w:t>
            </w:r>
          </w:p>
        </w:tc>
        <w:tc>
          <w:tcPr>
            <w:tcW w:w="725"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0.21</w:t>
            </w:r>
          </w:p>
        </w:tc>
        <w:tc>
          <w:tcPr>
            <w:tcW w:w="583"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0.0%</w:t>
            </w:r>
          </w:p>
        </w:tc>
        <w:tc>
          <w:tcPr>
            <w:tcW w:w="793"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27.64</w:t>
            </w:r>
          </w:p>
        </w:tc>
        <w:tc>
          <w:tcPr>
            <w:tcW w:w="645"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7.7%</w:t>
            </w:r>
          </w:p>
        </w:tc>
      </w:tr>
      <w:tr w:rsidR="006C4831" w:rsidRPr="00E20A1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2" w:type="pct"/>
            <w:tcBorders>
              <w:top w:val="nil"/>
              <w:left w:val="single" w:sz="4" w:space="0" w:color="auto"/>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X (unshaded)</w:t>
            </w:r>
          </w:p>
        </w:tc>
        <w:tc>
          <w:tcPr>
            <w:tcW w:w="752"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971.55</w:t>
            </w:r>
          </w:p>
        </w:tc>
        <w:tc>
          <w:tcPr>
            <w:tcW w:w="609"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79.8%</w:t>
            </w:r>
          </w:p>
        </w:tc>
        <w:tc>
          <w:tcPr>
            <w:tcW w:w="725"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1009.44</w:t>
            </w:r>
          </w:p>
        </w:tc>
        <w:tc>
          <w:tcPr>
            <w:tcW w:w="583"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99.9%</w:t>
            </w:r>
          </w:p>
        </w:tc>
        <w:tc>
          <w:tcPr>
            <w:tcW w:w="793"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299.35</w:t>
            </w:r>
          </w:p>
        </w:tc>
        <w:tc>
          <w:tcPr>
            <w:tcW w:w="645" w:type="pct"/>
            <w:tcBorders>
              <w:top w:val="nil"/>
              <w:left w:val="nil"/>
              <w:bottom w:val="single" w:sz="4" w:space="0" w:color="auto"/>
              <w:right w:val="single" w:sz="4" w:space="0" w:color="auto"/>
            </w:tcBorders>
            <w:shd w:val="clear" w:color="auto" w:fill="auto"/>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83.8%</w:t>
            </w:r>
          </w:p>
        </w:tc>
      </w:tr>
      <w:tr w:rsidR="006C4831" w:rsidRPr="00E20A1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2" w:type="pct"/>
            <w:tcBorders>
              <w:top w:val="nil"/>
              <w:left w:val="single" w:sz="4" w:space="0" w:color="auto"/>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TOTAL</w:t>
            </w:r>
          </w:p>
        </w:tc>
        <w:tc>
          <w:tcPr>
            <w:tcW w:w="752" w:type="pct"/>
            <w:tcBorders>
              <w:top w:val="nil"/>
              <w:left w:val="nil"/>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1217.53</w:t>
            </w:r>
          </w:p>
        </w:tc>
        <w:tc>
          <w:tcPr>
            <w:tcW w:w="609" w:type="pct"/>
            <w:tcBorders>
              <w:top w:val="nil"/>
              <w:left w:val="nil"/>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100.0%</w:t>
            </w:r>
          </w:p>
        </w:tc>
        <w:tc>
          <w:tcPr>
            <w:tcW w:w="725" w:type="pct"/>
            <w:tcBorders>
              <w:top w:val="nil"/>
              <w:left w:val="nil"/>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1010.13</w:t>
            </w:r>
          </w:p>
        </w:tc>
        <w:tc>
          <w:tcPr>
            <w:tcW w:w="583" w:type="pct"/>
            <w:tcBorders>
              <w:top w:val="nil"/>
              <w:left w:val="nil"/>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100.0%</w:t>
            </w:r>
          </w:p>
        </w:tc>
        <w:tc>
          <w:tcPr>
            <w:tcW w:w="793" w:type="pct"/>
            <w:tcBorders>
              <w:top w:val="nil"/>
              <w:left w:val="nil"/>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357.30</w:t>
            </w:r>
          </w:p>
        </w:tc>
        <w:tc>
          <w:tcPr>
            <w:tcW w:w="645" w:type="pct"/>
            <w:tcBorders>
              <w:top w:val="nil"/>
              <w:left w:val="nil"/>
              <w:bottom w:val="single" w:sz="4" w:space="0" w:color="auto"/>
              <w:right w:val="single" w:sz="4" w:space="0" w:color="auto"/>
            </w:tcBorders>
            <w:shd w:val="clear" w:color="000000" w:fill="D8D8D8"/>
            <w:noWrap/>
            <w:vAlign w:val="bottom"/>
          </w:tcPr>
          <w:p w:rsidR="006C4831" w:rsidRPr="00E20A15" w:rsidRDefault="006C4831" w:rsidP="006C4831">
            <w:pPr>
              <w:spacing w:after="0"/>
              <w:jc w:val="center"/>
              <w:rPr>
                <w:rFonts w:cs="Arial"/>
                <w:color w:val="000000"/>
                <w:sz w:val="20"/>
                <w:szCs w:val="20"/>
              </w:rPr>
            </w:pPr>
            <w:r w:rsidRPr="00E20A15">
              <w:rPr>
                <w:rFonts w:cs="Arial"/>
                <w:color w:val="000000"/>
                <w:sz w:val="20"/>
                <w:szCs w:val="20"/>
              </w:rPr>
              <w:t>100.0%</w:t>
            </w:r>
          </w:p>
        </w:tc>
      </w:tr>
    </w:tbl>
    <w:p w:rsidR="006C4831" w:rsidRPr="00E20A15" w:rsidRDefault="006C4831" w:rsidP="006C4831">
      <w:pPr>
        <w:pStyle w:val="Source"/>
        <w:spacing w:after="120"/>
        <w:ind w:left="-90"/>
      </w:pPr>
      <w:r w:rsidRPr="00E20A15">
        <w:t>Source: USGS National Hydrography Dataset, FEMA, California DWR, Cotati GIS. Map date: March 22, 2011.</w:t>
      </w:r>
    </w:p>
    <w:p w:rsidR="006C4831" w:rsidRPr="00E20A15" w:rsidRDefault="006C4831" w:rsidP="006C4831">
      <w:r w:rsidRPr="00E20A15">
        <w:t>Approximately 4.8 percent of the land within the city limits is located within an area with a FEMA flood zone AE, which is an area that is s</w:t>
      </w:r>
      <w:r w:rsidRPr="00E20A15">
        <w:rPr>
          <w:rFonts w:cs="Calibri"/>
        </w:rPr>
        <w:t>ubject to 100-year flooding (</w:t>
      </w:r>
      <w:r w:rsidRPr="00E20A15">
        <w:t xml:space="preserve">a one percent chance of being flooded in any given year). There is no land within the Sphere of Influence located within this zone, </w:t>
      </w:r>
      <w:r w:rsidRPr="00E20A15">
        <w:lastRenderedPageBreak/>
        <w:t>but 7.7 percent of the land within the Urban Growth Boundary is located within the AE zone. These areas are considered high flood hazards.</w:t>
      </w:r>
    </w:p>
    <w:p w:rsidR="006C4831" w:rsidRPr="00E20A15" w:rsidRDefault="006C4831" w:rsidP="006C4831">
      <w:r w:rsidRPr="00E20A15">
        <w:t>Approximately 15.4 percent of the land within the city limits is located within an area with a FEMA flood zone X (shaded), which is an area that is s</w:t>
      </w:r>
      <w:r w:rsidRPr="00E20A15">
        <w:rPr>
          <w:rFonts w:cs="Calibri"/>
        </w:rPr>
        <w:t>ubject to 500-year flooding (</w:t>
      </w:r>
      <w:r w:rsidRPr="00E20A15">
        <w:t xml:space="preserve">a .2 percent chance of being flooded in any given year). </w:t>
      </w:r>
      <w:r>
        <w:t xml:space="preserve">Approximately </w:t>
      </w:r>
      <w:r w:rsidRPr="00E20A15">
        <w:t xml:space="preserve">8.5 percent of the land within the Urban Growth Boundary is located within the X (shaded) zone. These areas are considered low to moderate flood hazards. </w:t>
      </w:r>
    </w:p>
    <w:p w:rsidR="006C4831" w:rsidRDefault="006C4831" w:rsidP="006C4831">
      <w:r w:rsidRPr="00E20A15">
        <w:t xml:space="preserve">Approximately 79.8 percent of the land within the city limits is located within an area with a FEMA flood zone X (unshaded), which is an area that is determined to be outside the 500-year flood and protected by levee from 100-year flood. Approximately 99.9 percent of the land within the Sphere of Influence, and 83.8 percent of land within the Urban Growth Boundary is located within the X (unshaded) zone. These areas are considered to be areas of minimal flood hazards. </w:t>
      </w:r>
    </w:p>
    <w:p w:rsidR="006C4831" w:rsidRPr="00F3306B" w:rsidRDefault="006C4831" w:rsidP="006C4831">
      <w:r>
        <w:t xml:space="preserve">The General Plan Safety Element includes numerous policies specifically designed to address flood hazards. </w:t>
      </w:r>
      <w:r w:rsidRPr="00E20A15">
        <w:t>Policy SA 3.1 requires the City to support and participate in planning efforts undertaken at the regional, state, and federal levels to improve flood management facilities throughout Sonoma County.  Policy SA 3.2 requires all development projects to demonstrate how storm water runoff will be detained or retained on-site and/or conveyed to the nearest drainage facility as part of the development review process.  Project applicants shall demonstrate that project implementation would not result in increases in the peak flow runoff to adjacent lands or drainage facilities.  Policy SA 3.3 requires construction activities to ensure that they will not result in adverse impacts to existing flood control and drainage structures.  Policy SA 3.4 restricts development on properties loca</w:t>
      </w:r>
      <w:r>
        <w:t xml:space="preserve">ted within a flood hazard zone </w:t>
      </w:r>
      <w:r w:rsidRPr="00E20A15">
        <w:t>unless flood protection findings consistent with the requirements of California Government Code Sections 65865.5, 65962, and 66474</w:t>
      </w:r>
      <w:r>
        <w:t xml:space="preserve">.5 can be made and documented. </w:t>
      </w:r>
      <w:r w:rsidRPr="00E20A15">
        <w:t>Policy SA 3.5 requires all new development within the 100</w:t>
      </w:r>
      <w:r w:rsidRPr="00E20A15">
        <w:noBreakHyphen/>
        <w:t>year flood plain to be built according to Federal Flood Insurance</w:t>
      </w:r>
      <w:r>
        <w:t xml:space="preserve"> Agency standards. </w:t>
      </w:r>
      <w:r w:rsidRPr="00E20A15">
        <w:t>Policy SA 3.6 requires new structures to be located outside of the 100-year floodplain to the greatest extent feasible.</w:t>
      </w:r>
      <w:r>
        <w:t xml:space="preserve"> </w:t>
      </w:r>
      <w:r w:rsidRPr="00E20A15">
        <w:t>Policy SA 3.7 requires monitoring of the efforts by FEMA and the California Department of Water Resources to update flood hazard maps within the Cit</w:t>
      </w:r>
      <w:r>
        <w:t xml:space="preserve">y of Cotati and Sonoma County. Policy </w:t>
      </w:r>
      <w:r w:rsidRPr="00E20A15">
        <w:t>SA 3.8 requires the City to encourage and accommodate multipurpose flood control projects that incorporate recreation, resource conservation, preservation of natural riparian habitat, and scenic values of the City’s streams, creeks and wetland/riparian areas</w:t>
      </w:r>
      <w:r>
        <w:t xml:space="preserve"> and to </w:t>
      </w:r>
      <w:r w:rsidRPr="00E20A15">
        <w:t>encourage the use of flood and/or stormwater retention facilities for use as gr</w:t>
      </w:r>
      <w:r>
        <w:t xml:space="preserve">oundwater recharge facilities. </w:t>
      </w:r>
      <w:r w:rsidRPr="00E20A15">
        <w:t>Policy SA 3.9 requires the City to encourage flood control measures that respect natural drainage features, vegetation and natural waterways, while still providing for adequate</w:t>
      </w:r>
      <w:r>
        <w:t xml:space="preserve"> flood control and protection. </w:t>
      </w:r>
      <w:r w:rsidRPr="00E20A15">
        <w:t>Policy SA 3.10 requires the City to continue efforts to eliminate flooding, by upgrading and expanding the storm drainage system.</w:t>
      </w:r>
      <w:r>
        <w:t xml:space="preserve"> </w:t>
      </w:r>
      <w:r w:rsidRPr="00E20A15">
        <w:t xml:space="preserve">Policy SA 3.11 is intended to ensure that new development or governmental action does not compound the potential for flooding. Policy SA 3.12 requires all new developments in the city to be designed to minimize vegetation removal, soil compaction, and site coverage.  Policy SA 3.13 is intended to ensure that adequate drainage and erosion controls are provided during construction of all </w:t>
      </w:r>
      <w:r w:rsidRPr="00F3306B">
        <w:t>new developments.</w:t>
      </w:r>
    </w:p>
    <w:p w:rsidR="006C4831" w:rsidRPr="00406A78" w:rsidRDefault="006C4831" w:rsidP="006C4831">
      <w:r w:rsidRPr="00F3306B">
        <w:lastRenderedPageBreak/>
        <w:t>Subsequent development, infrastructure, and planning projects would be subject to the General Plan policies and actions.  The policies and actions contained in the Safety Element of the General Plan represent a comprehensive and holistic approach by the City of Cotati to reduce the risks of flooding to City</w:t>
      </w:r>
      <w:r>
        <w:t xml:space="preserve"> residents and properties. </w:t>
      </w:r>
      <w:r w:rsidRPr="00F3306B">
        <w:t xml:space="preserve">Furthermore, as described in the setting section, numerous federal, state, and local agencies are responsible for maintaining flood protection features in the City of Cotati, including US Army Corps of Engineers (USACE), Department of Water Resources (DWR), and Department of Fish and Game (CDFG) at the federal and state level, as well as </w:t>
      </w:r>
      <w:r>
        <w:t xml:space="preserve">the </w:t>
      </w:r>
      <w:r w:rsidRPr="00337913">
        <w:t>Sonoma County Water Agency</w:t>
      </w:r>
      <w:r>
        <w:t xml:space="preserve"> at the local level. </w:t>
      </w:r>
      <w:r w:rsidRPr="00406A78">
        <w:t xml:space="preserve">The implementation of the General Plan would result in a </w:t>
      </w:r>
      <w:r w:rsidRPr="00406A78">
        <w:rPr>
          <w:b/>
        </w:rPr>
        <w:t>less than significant</w:t>
      </w:r>
      <w:r w:rsidRPr="00406A78">
        <w:t xml:space="preserve"> impact relative to this topic.  </w:t>
      </w:r>
    </w:p>
    <w:p w:rsidR="006C4831" w:rsidRPr="00245684" w:rsidRDefault="006C4831" w:rsidP="006C4831">
      <w:pPr>
        <w:pStyle w:val="Heading5"/>
        <w:spacing w:after="120"/>
        <w:rPr>
          <w:b/>
          <w:sz w:val="24"/>
        </w:rPr>
      </w:pPr>
      <w:r w:rsidRPr="00245684">
        <w:rPr>
          <w:b/>
          <w:sz w:val="24"/>
        </w:rPr>
        <w:t>2013 General Plan Policies and Actions that Mitigate Potential Impacts</w:t>
      </w:r>
    </w:p>
    <w:p w:rsidR="006C4831" w:rsidRPr="00A26723" w:rsidRDefault="006C4831" w:rsidP="006C4831">
      <w:pPr>
        <w:rPr>
          <w:i/>
          <w:u w:val="single"/>
        </w:rPr>
      </w:pPr>
      <w:r>
        <w:rPr>
          <w:i/>
          <w:u w:val="single"/>
        </w:rPr>
        <w:t>Policies</w:t>
      </w:r>
    </w:p>
    <w:p w:rsidR="006C4831" w:rsidRPr="00E20A15" w:rsidRDefault="006C4831" w:rsidP="006C4831">
      <w:pPr>
        <w:pStyle w:val="Policy"/>
        <w:tabs>
          <w:tab w:val="clear" w:pos="720"/>
        </w:tabs>
        <w:ind w:left="0"/>
        <w:rPr>
          <w:i/>
        </w:rPr>
      </w:pPr>
      <w:r w:rsidRPr="00E20A15">
        <w:rPr>
          <w:b/>
          <w:i/>
        </w:rPr>
        <w:t>Policy SA 3.1:</w:t>
      </w:r>
      <w:r w:rsidRPr="00E20A15">
        <w:rPr>
          <w:b/>
          <w:i/>
        </w:rPr>
        <w:tab/>
      </w:r>
      <w:r w:rsidRPr="00E20A15">
        <w:rPr>
          <w:i/>
        </w:rPr>
        <w:t xml:space="preserve">Support and participate in planning efforts undertaken at the regional, state, and federal levels to improve flood management facilities throughout Sonoma County.  </w:t>
      </w:r>
    </w:p>
    <w:p w:rsidR="006C4831" w:rsidRPr="00E20A15" w:rsidRDefault="006C4831" w:rsidP="006C4831">
      <w:pPr>
        <w:pStyle w:val="Policy"/>
        <w:keepNext/>
        <w:ind w:left="0"/>
        <w:rPr>
          <w:i/>
        </w:rPr>
      </w:pPr>
      <w:r w:rsidRPr="00E20A15">
        <w:rPr>
          <w:b/>
          <w:i/>
        </w:rPr>
        <w:t>Policy SA 3.2:</w:t>
      </w:r>
      <w:r w:rsidRPr="00E20A15">
        <w:rPr>
          <w:i/>
        </w:rPr>
        <w:tab/>
        <w:t xml:space="preserve">Require all development projects to demonstrate how storm water runoff will be detained or retained on-site and/or conveyed to the nearest drainage facility as part of the development review process.  Project applicants shall demonstrate that project implementation would not result in increases in the peak flow runoff to adjacent lands or drainage facilities.  </w:t>
      </w:r>
    </w:p>
    <w:p w:rsidR="006C4831" w:rsidRPr="00E20A15" w:rsidRDefault="006C4831" w:rsidP="006C4831">
      <w:pPr>
        <w:pStyle w:val="Policy"/>
        <w:ind w:left="0"/>
        <w:rPr>
          <w:i/>
        </w:rPr>
      </w:pPr>
      <w:r w:rsidRPr="00E20A15">
        <w:rPr>
          <w:b/>
          <w:i/>
        </w:rPr>
        <w:t>Policy SA 3.3:</w:t>
      </w:r>
      <w:r w:rsidRPr="00E20A15">
        <w:rPr>
          <w:i/>
        </w:rPr>
        <w:tab/>
        <w:t xml:space="preserve">Ensure that construction activities will not result in adverse impacts to existing flood control and drainage structures.  </w:t>
      </w:r>
    </w:p>
    <w:p w:rsidR="006C4831" w:rsidRPr="00E20A15" w:rsidRDefault="006C4831" w:rsidP="006C4831">
      <w:pPr>
        <w:pStyle w:val="Policy"/>
        <w:ind w:left="0"/>
        <w:rPr>
          <w:i/>
        </w:rPr>
      </w:pPr>
      <w:r w:rsidRPr="00E20A15">
        <w:rPr>
          <w:b/>
          <w:i/>
        </w:rPr>
        <w:t>Policy SA 3.4:</w:t>
      </w:r>
      <w:r w:rsidRPr="00E20A15">
        <w:rPr>
          <w:i/>
        </w:rPr>
        <w:tab/>
        <w:t xml:space="preserve">For properties located within a flood hazard zone, as identified on the most recent FEMA 100-year floodplain map or identified by the California Department of Water Resources, the City shall not enter into a development agreement, approve any discretionary entitlement, tentative parcel map, parcel map, final map, or any ministerial permit that would result in the construction of a new residence unless flood protection findings consistent with the requirements of California Government Code Sections 65865.5, 65962, and 66474.5 can be made and documented.  </w:t>
      </w:r>
    </w:p>
    <w:p w:rsidR="006C4831" w:rsidRPr="00E20A15" w:rsidRDefault="006C4831" w:rsidP="006C4831">
      <w:pPr>
        <w:pStyle w:val="Policy"/>
        <w:ind w:left="0"/>
        <w:rPr>
          <w:bCs w:val="0"/>
          <w:i/>
        </w:rPr>
      </w:pPr>
      <w:r w:rsidRPr="00E20A15">
        <w:rPr>
          <w:b/>
          <w:i/>
        </w:rPr>
        <w:t>Policy SA 3.5:</w:t>
      </w:r>
      <w:r w:rsidRPr="00E20A15">
        <w:rPr>
          <w:bCs w:val="0"/>
          <w:i/>
        </w:rPr>
        <w:t xml:space="preserve"> All new </w:t>
      </w:r>
      <w:r w:rsidRPr="00E20A15">
        <w:rPr>
          <w:i/>
        </w:rPr>
        <w:t>development</w:t>
      </w:r>
      <w:r w:rsidRPr="00E20A15">
        <w:rPr>
          <w:bCs w:val="0"/>
          <w:i/>
        </w:rPr>
        <w:t xml:space="preserve"> within the 100</w:t>
      </w:r>
      <w:r w:rsidRPr="00E20A15">
        <w:rPr>
          <w:bCs w:val="0"/>
          <w:i/>
        </w:rPr>
        <w:noBreakHyphen/>
        <w:t xml:space="preserve">year flood plain shall be built according to Federal Flood Insurance Agency standards.  </w:t>
      </w:r>
    </w:p>
    <w:p w:rsidR="006C4831" w:rsidRPr="00E20A15" w:rsidRDefault="006C4831" w:rsidP="006C4831">
      <w:pPr>
        <w:pStyle w:val="Policy"/>
        <w:ind w:left="0"/>
        <w:rPr>
          <w:i/>
        </w:rPr>
      </w:pPr>
      <w:r w:rsidRPr="00E20A15">
        <w:rPr>
          <w:b/>
          <w:i/>
        </w:rPr>
        <w:t>Policy SA 3.6:</w:t>
      </w:r>
      <w:r w:rsidRPr="00E20A15">
        <w:rPr>
          <w:b/>
          <w:i/>
        </w:rPr>
        <w:tab/>
      </w:r>
      <w:r w:rsidRPr="00E20A15">
        <w:rPr>
          <w:i/>
        </w:rPr>
        <w:t>Require new structures to be located outside of the 100-year floodplain to the greatest extent feasible.</w:t>
      </w:r>
    </w:p>
    <w:p w:rsidR="006C4831" w:rsidRPr="00E20A15" w:rsidRDefault="006C4831" w:rsidP="006C4831">
      <w:pPr>
        <w:pStyle w:val="Policy"/>
        <w:ind w:left="0"/>
        <w:rPr>
          <w:i/>
        </w:rPr>
      </w:pPr>
      <w:r w:rsidRPr="00E20A15">
        <w:rPr>
          <w:b/>
          <w:i/>
        </w:rPr>
        <w:t>Policy SA 3.7:</w:t>
      </w:r>
      <w:r w:rsidRPr="00E20A15">
        <w:rPr>
          <w:b/>
          <w:i/>
        </w:rPr>
        <w:tab/>
      </w:r>
      <w:r w:rsidRPr="00E20A15">
        <w:rPr>
          <w:i/>
        </w:rPr>
        <w:t xml:space="preserve">Monitor ongoing efforts by FEMA and the California Department of Water Resources to update flood hazard maps within the City of Cotati and Sonoma County.  </w:t>
      </w:r>
    </w:p>
    <w:p w:rsidR="006C4831" w:rsidRPr="00E20A15" w:rsidRDefault="006C4831" w:rsidP="006C4831">
      <w:pPr>
        <w:pStyle w:val="Policy"/>
        <w:ind w:left="0"/>
        <w:rPr>
          <w:i/>
        </w:rPr>
      </w:pPr>
      <w:r w:rsidRPr="00E20A15">
        <w:rPr>
          <w:b/>
          <w:i/>
        </w:rPr>
        <w:t>Policy SA 3.8:</w:t>
      </w:r>
      <w:r w:rsidRPr="00E20A15">
        <w:rPr>
          <w:b/>
          <w:i/>
        </w:rPr>
        <w:tab/>
      </w:r>
      <w:r w:rsidRPr="00E20A15">
        <w:rPr>
          <w:i/>
        </w:rPr>
        <w:t xml:space="preserve">Encourage and accommodate multipurpose flood control projects that incorporate recreation, resource conservation, preservation of natural riparian habitat, and scenic values of the City’s streams, creeks and wetland/riparian areas.  Where appropriate and feasible, the City shall also encourage the use of flood and/or stormwater retention facilities for use as groundwater recharge facilities.  </w:t>
      </w:r>
    </w:p>
    <w:p w:rsidR="006C4831" w:rsidRPr="00E20A15" w:rsidRDefault="006C4831" w:rsidP="006C4831">
      <w:pPr>
        <w:pStyle w:val="Policy"/>
        <w:ind w:left="0"/>
        <w:rPr>
          <w:i/>
        </w:rPr>
      </w:pPr>
      <w:r w:rsidRPr="00E20A15">
        <w:rPr>
          <w:b/>
          <w:i/>
        </w:rPr>
        <w:lastRenderedPageBreak/>
        <w:t>Policy SA 3.9:</w:t>
      </w:r>
      <w:r w:rsidRPr="00E20A15">
        <w:rPr>
          <w:i/>
        </w:rPr>
        <w:t xml:space="preserve">  Encourage flood control measures that respect natural drainage features, vegetation and natural waterways, while still providing for adequate flood control and protection.  </w:t>
      </w:r>
    </w:p>
    <w:p w:rsidR="006C4831" w:rsidRPr="00E20A15" w:rsidRDefault="006C4831" w:rsidP="006C4831">
      <w:pPr>
        <w:pStyle w:val="Policy"/>
        <w:ind w:left="0"/>
        <w:rPr>
          <w:bCs w:val="0"/>
          <w:i/>
        </w:rPr>
      </w:pPr>
      <w:r w:rsidRPr="00E20A15">
        <w:rPr>
          <w:b/>
          <w:i/>
        </w:rPr>
        <w:t>Policy SA 3.10:</w:t>
      </w:r>
      <w:r w:rsidRPr="00E20A15">
        <w:rPr>
          <w:bCs w:val="0"/>
          <w:i/>
        </w:rPr>
        <w:t xml:space="preserve"> Continue </w:t>
      </w:r>
      <w:r w:rsidRPr="00E20A15">
        <w:rPr>
          <w:i/>
        </w:rPr>
        <w:t>efforts</w:t>
      </w:r>
      <w:r w:rsidRPr="00E20A15">
        <w:rPr>
          <w:bCs w:val="0"/>
          <w:i/>
        </w:rPr>
        <w:t xml:space="preserve"> to eliminate flooding, by upgrading and expanding the storm drainage system.</w:t>
      </w:r>
    </w:p>
    <w:p w:rsidR="006C4831" w:rsidRPr="00E20A15" w:rsidRDefault="006C4831" w:rsidP="006C4831">
      <w:pPr>
        <w:pStyle w:val="Policy"/>
        <w:ind w:left="0"/>
        <w:rPr>
          <w:bCs w:val="0"/>
          <w:i/>
        </w:rPr>
      </w:pPr>
      <w:r w:rsidRPr="00E20A15">
        <w:rPr>
          <w:b/>
          <w:i/>
        </w:rPr>
        <w:t>Policy SA 3.11:</w:t>
      </w:r>
      <w:r w:rsidRPr="00E20A15">
        <w:rPr>
          <w:bCs w:val="0"/>
          <w:i/>
        </w:rPr>
        <w:t xml:space="preserve"> Ensure that new development or governmental action does not compound the potential for flooding. </w:t>
      </w:r>
    </w:p>
    <w:p w:rsidR="006C4831" w:rsidRPr="00E20A15" w:rsidRDefault="006C4831" w:rsidP="006C4831">
      <w:pPr>
        <w:pStyle w:val="Policy"/>
        <w:ind w:left="0"/>
        <w:rPr>
          <w:bCs w:val="0"/>
          <w:i/>
        </w:rPr>
      </w:pPr>
      <w:r w:rsidRPr="00E20A15">
        <w:rPr>
          <w:b/>
          <w:i/>
        </w:rPr>
        <w:t>Policy SA 3.12:</w:t>
      </w:r>
      <w:r w:rsidRPr="00E20A15">
        <w:rPr>
          <w:bCs w:val="0"/>
          <w:i/>
        </w:rPr>
        <w:t xml:space="preserve"> Require all new developments in the city to be designed to minimize vegetation removal, soil compaction, and site coverage.</w:t>
      </w:r>
    </w:p>
    <w:p w:rsidR="006C4831" w:rsidRDefault="006C4831" w:rsidP="006C4831">
      <w:pPr>
        <w:pStyle w:val="Policy"/>
        <w:ind w:left="0"/>
        <w:rPr>
          <w:bCs w:val="0"/>
          <w:i/>
        </w:rPr>
      </w:pPr>
      <w:r w:rsidRPr="00E20A15">
        <w:rPr>
          <w:b/>
          <w:i/>
        </w:rPr>
        <w:t>Policy SA 3.13:</w:t>
      </w:r>
      <w:r w:rsidRPr="00E20A15">
        <w:rPr>
          <w:bCs w:val="0"/>
          <w:i/>
        </w:rPr>
        <w:t xml:space="preserve"> Ensure that adequate drainage and erosion controls are provided during construction of all new developments.</w:t>
      </w:r>
    </w:p>
    <w:p w:rsidR="006C4831" w:rsidRPr="005F1F14" w:rsidRDefault="006C4831" w:rsidP="006C4831">
      <w:pPr>
        <w:rPr>
          <w:i/>
          <w:u w:val="single"/>
        </w:rPr>
      </w:pPr>
      <w:r w:rsidRPr="005F1F14">
        <w:rPr>
          <w:i/>
          <w:u w:val="single"/>
        </w:rPr>
        <w:t>Actions</w:t>
      </w:r>
    </w:p>
    <w:p w:rsidR="006C4831" w:rsidRPr="00E20A15" w:rsidRDefault="006C4831" w:rsidP="006C4831">
      <w:pPr>
        <w:pStyle w:val="Action"/>
        <w:ind w:left="0"/>
      </w:pPr>
      <w:r w:rsidRPr="00E20A15">
        <w:rPr>
          <w:u w:val="single"/>
        </w:rPr>
        <w:t>Action SA 3a:</w:t>
      </w:r>
      <w:r w:rsidRPr="00E20A15">
        <w:tab/>
        <w:t>Develop a Flooding and Drainage Master Plan that addresses the following, at a minimum:</w:t>
      </w:r>
    </w:p>
    <w:p w:rsidR="006C4831" w:rsidRPr="00E20A15" w:rsidRDefault="006C4831" w:rsidP="006C4831">
      <w:pPr>
        <w:pStyle w:val="Action"/>
        <w:numPr>
          <w:ilvl w:val="0"/>
          <w:numId w:val="15"/>
        </w:numPr>
        <w:ind w:left="634"/>
        <w:jc w:val="both"/>
      </w:pPr>
      <w:r w:rsidRPr="00E20A15">
        <w:t>Storm water and drainage improvements for all areas of the City that are needed to accommodate existing and planned growth;</w:t>
      </w:r>
    </w:p>
    <w:p w:rsidR="006C4831" w:rsidRPr="00E20A15" w:rsidRDefault="006C4831" w:rsidP="006C4831">
      <w:pPr>
        <w:pStyle w:val="Action"/>
        <w:numPr>
          <w:ilvl w:val="0"/>
          <w:numId w:val="15"/>
        </w:numPr>
        <w:ind w:left="634"/>
        <w:jc w:val="both"/>
      </w:pPr>
      <w:r w:rsidRPr="00E20A15">
        <w:t>Standards for on- and off-site stormwater and flooding improvements to ensure no adverse impacts to adjacent or nearby properties;</w:t>
      </w:r>
    </w:p>
    <w:p w:rsidR="006C4831" w:rsidRPr="00E20A15" w:rsidRDefault="006C4831" w:rsidP="006C4831">
      <w:pPr>
        <w:pStyle w:val="Action"/>
        <w:numPr>
          <w:ilvl w:val="0"/>
          <w:numId w:val="15"/>
        </w:numPr>
        <w:ind w:left="634"/>
        <w:jc w:val="both"/>
      </w:pPr>
      <w:r w:rsidRPr="00E20A15">
        <w:t>Standard measures to be used by new development to address localized flooding impacts;</w:t>
      </w:r>
    </w:p>
    <w:p w:rsidR="006C4831" w:rsidRPr="00E20A15" w:rsidRDefault="006C4831" w:rsidP="006C4831">
      <w:pPr>
        <w:pStyle w:val="Action"/>
        <w:numPr>
          <w:ilvl w:val="0"/>
          <w:numId w:val="15"/>
        </w:numPr>
        <w:ind w:left="634"/>
        <w:jc w:val="both"/>
      </w:pPr>
      <w:r w:rsidRPr="00E20A15">
        <w:t>Identification of areas for stream channel or flood control conveyance system enlargement and/or stabilization; and</w:t>
      </w:r>
    </w:p>
    <w:p w:rsidR="006C4831" w:rsidRPr="00E20A15" w:rsidRDefault="006C4831" w:rsidP="006C4831">
      <w:pPr>
        <w:pStyle w:val="Action"/>
        <w:numPr>
          <w:ilvl w:val="0"/>
          <w:numId w:val="15"/>
        </w:numPr>
        <w:ind w:left="634"/>
        <w:jc w:val="both"/>
      </w:pPr>
      <w:r w:rsidRPr="00E20A15">
        <w:t>Operation, maintenance and funding of flood control and drainage facilities.</w:t>
      </w:r>
    </w:p>
    <w:p w:rsidR="006C4831" w:rsidRPr="00E20A15" w:rsidRDefault="006C4831" w:rsidP="006C4831">
      <w:pPr>
        <w:pStyle w:val="Action"/>
        <w:ind w:left="0"/>
      </w:pPr>
      <w:r w:rsidRPr="00E20A15">
        <w:rPr>
          <w:u w:val="single"/>
        </w:rPr>
        <w:t>Action SA 3b:</w:t>
      </w:r>
      <w:r w:rsidRPr="00E20A15">
        <w:t xml:space="preserve">  During preparation of the Capital Improvement Program, review the conditions of bridges, culverts, and other flood control and storm water conveyance infrastructure and include necessary improvements on the CIP to ensure safety of persons in the City and adequate conveyance of flood waters.</w:t>
      </w:r>
    </w:p>
    <w:p w:rsidR="006C4831" w:rsidRPr="00E20A15" w:rsidRDefault="006C4831" w:rsidP="006C4831">
      <w:pPr>
        <w:pStyle w:val="Action"/>
        <w:ind w:left="0"/>
      </w:pPr>
      <w:r w:rsidRPr="00E20A15">
        <w:rPr>
          <w:u w:val="single"/>
        </w:rPr>
        <w:t>Action SA 3c:</w:t>
      </w:r>
      <w:r w:rsidRPr="00E20A15">
        <w:tab/>
        <w:t xml:space="preserve">Seek State and Federal funding for improvements to existing flood control and drainage infrastructure.  </w:t>
      </w:r>
    </w:p>
    <w:p w:rsidR="006C4831" w:rsidRPr="00E20A15" w:rsidRDefault="006C4831" w:rsidP="006C4831">
      <w:pPr>
        <w:pStyle w:val="Action"/>
        <w:ind w:left="0"/>
      </w:pPr>
      <w:r w:rsidRPr="00E20A15">
        <w:rPr>
          <w:u w:val="single"/>
        </w:rPr>
        <w:t>Action SA 3d:</w:t>
      </w:r>
      <w:r w:rsidRPr="00E20A15">
        <w:tab/>
        <w:t>Review the Cotati Municipal Code, including Chapter 15.04, Floodplain Management, and revise as necessary to ensure that development standards are consistent with the requirements of state law, including Government Code Section 65007.  Development and building standards shall require the following:</w:t>
      </w:r>
    </w:p>
    <w:p w:rsidR="006C4831" w:rsidRPr="00E20A15" w:rsidRDefault="006C4831" w:rsidP="006C4831">
      <w:pPr>
        <w:pStyle w:val="Action"/>
        <w:numPr>
          <w:ilvl w:val="0"/>
          <w:numId w:val="9"/>
        </w:numPr>
        <w:ind w:left="994"/>
        <w:jc w:val="both"/>
      </w:pPr>
      <w:r w:rsidRPr="00E20A15">
        <w:t xml:space="preserve">New structures proposed for location within the 100-year floodplain shall be elevated one (1) foot or more above the 100-year flood elevation.  </w:t>
      </w:r>
    </w:p>
    <w:p w:rsidR="006C4831" w:rsidRPr="00E20A15" w:rsidRDefault="006C4831" w:rsidP="006C4831">
      <w:pPr>
        <w:pStyle w:val="Action"/>
        <w:numPr>
          <w:ilvl w:val="0"/>
          <w:numId w:val="9"/>
        </w:numPr>
        <w:ind w:left="994"/>
        <w:jc w:val="both"/>
      </w:pPr>
      <w:r w:rsidRPr="00E20A15">
        <w:lastRenderedPageBreak/>
        <w:t xml:space="preserve">New construction in the 100-year floodplain shall be designed and constructed so that they do not contribute to cumulative flooding problems that could pose a hazard to surrounding landowners or the public.  </w:t>
      </w:r>
    </w:p>
    <w:p w:rsidR="006C4831" w:rsidRPr="00E20A15" w:rsidRDefault="006C4831" w:rsidP="006C4831">
      <w:pPr>
        <w:pStyle w:val="Action"/>
        <w:numPr>
          <w:ilvl w:val="0"/>
          <w:numId w:val="9"/>
        </w:numPr>
        <w:ind w:left="994"/>
        <w:jc w:val="both"/>
      </w:pPr>
      <w:r w:rsidRPr="00E20A15">
        <w:t xml:space="preserve">Discourage extensive areas of impermeable surfaces and promote the use of permeable materials for surfaces such as driveways and parking lots.  </w:t>
      </w:r>
    </w:p>
    <w:p w:rsidR="006C4831" w:rsidRPr="00E20A15" w:rsidRDefault="006C4831" w:rsidP="006C4831">
      <w:pPr>
        <w:pStyle w:val="Action"/>
        <w:numPr>
          <w:ilvl w:val="0"/>
          <w:numId w:val="9"/>
        </w:numPr>
        <w:ind w:left="994"/>
        <w:jc w:val="both"/>
      </w:pPr>
      <w:r w:rsidRPr="00E20A15">
        <w:t xml:space="preserve">Ensure new </w:t>
      </w:r>
      <w:proofErr w:type="gramStart"/>
      <w:r w:rsidRPr="00E20A15">
        <w:t>development within areas prone to flooding include</w:t>
      </w:r>
      <w:proofErr w:type="gramEnd"/>
      <w:r w:rsidRPr="00E20A15">
        <w:t xml:space="preserve"> all-weather access roads or other measures to ensure access during a flood event.  </w:t>
      </w:r>
    </w:p>
    <w:p w:rsidR="006C4831" w:rsidRPr="00E20A15" w:rsidRDefault="006C4831" w:rsidP="006C4831">
      <w:pPr>
        <w:pStyle w:val="Action"/>
        <w:ind w:left="0"/>
      </w:pPr>
      <w:r w:rsidRPr="00E20A15">
        <w:rPr>
          <w:u w:val="single"/>
        </w:rPr>
        <w:t>Action SA 3e:</w:t>
      </w:r>
      <w:r w:rsidRPr="00E20A15">
        <w:t xml:space="preserve"> Work with the Sonoma County Water Agency to maintain adequate and appropriate flood channels.</w:t>
      </w:r>
    </w:p>
    <w:p w:rsidR="006C4831" w:rsidRPr="00E20A15" w:rsidRDefault="006C4831" w:rsidP="006C4831">
      <w:pPr>
        <w:pStyle w:val="Action"/>
        <w:ind w:left="0"/>
      </w:pPr>
      <w:r w:rsidRPr="00E20A15">
        <w:rPr>
          <w:u w:val="single"/>
        </w:rPr>
        <w:t>Action SA 3f:</w:t>
      </w:r>
      <w:r w:rsidRPr="00E20A15">
        <w:t xml:space="preserve"> Maintain unimproved drainage channels on a periodic basis (Public Works).</w:t>
      </w:r>
    </w:p>
    <w:p w:rsidR="006C4831" w:rsidRPr="00E20A15" w:rsidRDefault="006C4831" w:rsidP="006C4831">
      <w:pPr>
        <w:pStyle w:val="Action"/>
        <w:ind w:left="0"/>
      </w:pPr>
      <w:r w:rsidRPr="00E20A15">
        <w:rPr>
          <w:u w:val="single"/>
        </w:rPr>
        <w:t>Action SA 3g:</w:t>
      </w:r>
      <w:r w:rsidRPr="00E20A15">
        <w:t xml:space="preserve"> As part of the development review process, require developers to prepare hydrological studies for all new developments as required by the City Engineer.  Studies shall encompass the project site as well as the entire drainage area.</w:t>
      </w:r>
    </w:p>
    <w:p w:rsidR="006C4831" w:rsidRPr="005038BA" w:rsidRDefault="006C4831" w:rsidP="006C4831">
      <w:pPr>
        <w:pStyle w:val="Action"/>
        <w:ind w:left="0"/>
      </w:pPr>
      <w:r w:rsidRPr="00E20A15">
        <w:rPr>
          <w:u w:val="single"/>
        </w:rPr>
        <w:t>Action SA 3h:</w:t>
      </w:r>
      <w:r w:rsidRPr="00E20A15">
        <w:tab/>
        <w:t>Review the Safety Element concurrently with the periodically updated Housing Element to update any new information regarding floodplain mapping and/or regulations to ensure consistency with Federal and State requirements.</w:t>
      </w:r>
      <w:r w:rsidRPr="005038BA">
        <w:t xml:space="preserve">    </w:t>
      </w:r>
    </w:p>
    <w:p w:rsidR="006C4831" w:rsidRPr="00406A78" w:rsidRDefault="006C4831" w:rsidP="006C4831">
      <w:pPr>
        <w:pStyle w:val="Heading4"/>
      </w:pPr>
      <w:r w:rsidRPr="00406A78">
        <w:t xml:space="preserve">Impact </w:t>
      </w:r>
      <w:r>
        <w:t>3.8</w:t>
      </w:r>
      <w:r w:rsidRPr="00406A78">
        <w:t xml:space="preserve">-6: </w:t>
      </w:r>
      <w:r>
        <w:t xml:space="preserve">The </w:t>
      </w:r>
      <w:r w:rsidRPr="00406A78">
        <w:t>General Plan</w:t>
      </w:r>
      <w:r>
        <w:t xml:space="preserve"> would not expose people or structures to a significant risk of loss, injury, or death involving flooding as a result of failure of a levee or dam, seiche, tsunami, or mudflow (L</w:t>
      </w:r>
      <w:r w:rsidRPr="00406A78">
        <w:t xml:space="preserve">ess than </w:t>
      </w:r>
      <w:r>
        <w:t>S</w:t>
      </w:r>
      <w:r w:rsidRPr="00406A78">
        <w:t>ignificant)</w:t>
      </w:r>
    </w:p>
    <w:p w:rsidR="006C4831" w:rsidRDefault="006C4831" w:rsidP="006C4831">
      <w:r w:rsidRPr="00406A78">
        <w:rPr>
          <w:rFonts w:cs="Arial"/>
        </w:rPr>
        <w:t xml:space="preserve">Earthquakes centered close to a dam or </w:t>
      </w:r>
      <w:proofErr w:type="gramStart"/>
      <w:r w:rsidRPr="00406A78">
        <w:rPr>
          <w:rFonts w:cs="Arial"/>
        </w:rPr>
        <w:t>levee are</w:t>
      </w:r>
      <w:proofErr w:type="gramEnd"/>
      <w:r w:rsidRPr="00406A78">
        <w:rPr>
          <w:rFonts w:cs="Arial"/>
        </w:rPr>
        <w:t xml:space="preserve"> typically the most likely cause of dam or levee failure. </w:t>
      </w:r>
      <w:r w:rsidRPr="00406A78">
        <w:t>Dam Inundation maps have been</w:t>
      </w:r>
      <w:r w:rsidRPr="00A76D67">
        <w:t xml:space="preserve"> required in California since 1972, following the 1971 San Fernando Earthquake and near failure of the Lower Van Norman Dam. The City of Cotati is not within a dam inundation area. Additionally, per DWR publications Dams Owned and Operated by a Federal Agency and Dams within the Jurisdiction of the State of California, there are no dams operated by the federal government within City of Cotati.</w:t>
      </w:r>
      <w:r>
        <w:t xml:space="preserve"> Additionally, there are no significant levees protecting the City of Cotati. </w:t>
      </w:r>
    </w:p>
    <w:p w:rsidR="006C4831" w:rsidRPr="00A76D67" w:rsidRDefault="006C4831" w:rsidP="006C4831">
      <w:r w:rsidRPr="00A76D67">
        <w:t xml:space="preserve">A tsunami is a sea wave caused by a submarine earthquake, landslide, or volcanic eruption. Tsunami can cause catastrophic damage to shallow or exposed shorelines. The Plan Area is sufficiently distant from the San Francisco Bay to preclude effects from a tsunami. </w:t>
      </w:r>
    </w:p>
    <w:p w:rsidR="006C4831" w:rsidRPr="00A76D67" w:rsidRDefault="006C4831" w:rsidP="006C4831">
      <w:r w:rsidRPr="00A76D67">
        <w:t xml:space="preserve">Seiches are changes or oscillations of water levels within a confined water body. Seiches are caused by fluctuation in the atmosphere, tidal currents or earthquakes. The effect of this phenomenon is a standing wave that would occur when influences by the external causes. The Plan Area is located proximate to a confined water body that would pose a significant risk from a seiche. </w:t>
      </w:r>
    </w:p>
    <w:p w:rsidR="006C4831" w:rsidRPr="00A90A91" w:rsidRDefault="006C4831" w:rsidP="006C4831">
      <w:pPr>
        <w:rPr>
          <w:rFonts w:cs="Calibri"/>
        </w:rPr>
      </w:pPr>
      <w:r w:rsidRPr="00A76D67">
        <w:rPr>
          <w:rFonts w:cs="Calibri"/>
        </w:rPr>
        <w:t xml:space="preserve">A mudflow is a type of mass wasting or landslide, where earth and surface materials are rapidly transported downhill under the force of gravity. Mudflow events are caused by a combination of </w:t>
      </w:r>
      <w:r w:rsidRPr="00A76D67">
        <w:rPr>
          <w:rFonts w:cs="Calibri"/>
        </w:rPr>
        <w:lastRenderedPageBreak/>
        <w:t xml:space="preserve">factors, including soil type, soil profile, precipitation, and slope. Mudflow may be triggered by heavy rainfall that the soil is not able to sufficiently drain or absorb. As a result of this super-saturation, </w:t>
      </w:r>
      <w:r w:rsidRPr="00A90A91">
        <w:rPr>
          <w:rFonts w:cs="Calibri"/>
        </w:rPr>
        <w:t xml:space="preserve">soil and rock materials become unstable and eventually slide away from their existing location. Soils most susceptible to mudflow are saturated, loose, non-plastic, uniformly graded, and fine-grained sand deposits. </w:t>
      </w:r>
      <w:r w:rsidRPr="00A90A91">
        <w:rPr>
          <w:rFonts w:cs="Arial"/>
        </w:rPr>
        <w:t>Given the relatively level slopes throughout the City of Cotati, the mudflow potential is very low. This is not a significant constraint in the Planning Area. The mudflow potential increases in the foothills and mountains to the east and west of the Planning Area.</w:t>
      </w:r>
    </w:p>
    <w:p w:rsidR="006C4831" w:rsidRPr="00A90A91" w:rsidRDefault="006C4831" w:rsidP="006C4831">
      <w:r w:rsidRPr="00A90A91">
        <w:t xml:space="preserve">The implementation of the General Plan would result in a </w:t>
      </w:r>
      <w:r w:rsidRPr="00A90A91">
        <w:rPr>
          <w:b/>
        </w:rPr>
        <w:t>less than significant</w:t>
      </w:r>
      <w:r w:rsidRPr="00A90A91">
        <w:t xml:space="preserve"> impact relative to this topic.  </w:t>
      </w:r>
    </w:p>
    <w:p w:rsidR="006C4831" w:rsidRPr="00A90A91" w:rsidRDefault="006C4831" w:rsidP="006C4831">
      <w:pPr>
        <w:rPr>
          <w:rFonts w:ascii="Cambria" w:hAnsi="Cambria"/>
          <w:b/>
          <w:i/>
          <w:sz w:val="24"/>
          <w:szCs w:val="24"/>
        </w:rPr>
      </w:pPr>
      <w:r>
        <w:br w:type="page"/>
      </w:r>
      <w:r w:rsidRPr="00A90A91">
        <w:rPr>
          <w:b/>
        </w:rPr>
        <w:lastRenderedPageBreak/>
        <w:t xml:space="preserve">Insert Figure </w:t>
      </w:r>
      <w:r>
        <w:rPr>
          <w:b/>
        </w:rPr>
        <w:t>3.8</w:t>
      </w:r>
      <w:r w:rsidRPr="00A90A91">
        <w:rPr>
          <w:b/>
        </w:rPr>
        <w:t>-1- Watershed Map</w:t>
      </w:r>
    </w:p>
    <w:p w:rsidR="006C4831" w:rsidRPr="00A90A91" w:rsidRDefault="006C4831" w:rsidP="006C4831">
      <w:pPr>
        <w:spacing w:after="160" w:line="288" w:lineRule="auto"/>
        <w:ind w:left="2160"/>
        <w:jc w:val="left"/>
        <w:rPr>
          <w:rFonts w:ascii="Cambria" w:hAnsi="Cambria"/>
          <w:i/>
          <w:sz w:val="24"/>
          <w:szCs w:val="24"/>
        </w:rPr>
      </w:pPr>
      <w:r w:rsidRPr="00A90A91">
        <w:rPr>
          <w:rFonts w:ascii="Cambria" w:hAnsi="Cambria"/>
          <w:i/>
          <w:sz w:val="24"/>
          <w:szCs w:val="24"/>
        </w:rPr>
        <w:br w:type="page"/>
      </w:r>
    </w:p>
    <w:p w:rsidR="006C4831" w:rsidRPr="00A90A91" w:rsidRDefault="006C4831" w:rsidP="006C4831"/>
    <w:p w:rsidR="006C4831" w:rsidRPr="00A90A91" w:rsidRDefault="006C4831" w:rsidP="006C4831"/>
    <w:p w:rsidR="006C4831" w:rsidRPr="00A90A91" w:rsidRDefault="006C4831" w:rsidP="006C4831"/>
    <w:p w:rsidR="006C4831" w:rsidRPr="00A90A91" w:rsidRDefault="006C4831" w:rsidP="006C4831"/>
    <w:p w:rsidR="006C4831" w:rsidRPr="00A90A91" w:rsidRDefault="006C4831" w:rsidP="006C4831"/>
    <w:p w:rsidR="006C4831" w:rsidRPr="00A90A91" w:rsidRDefault="006C4831" w:rsidP="006C4831"/>
    <w:p w:rsidR="006C4831" w:rsidRPr="00A90A91" w:rsidRDefault="006C4831" w:rsidP="006C4831"/>
    <w:p w:rsidR="006C4831" w:rsidRPr="00A90A91" w:rsidRDefault="006C4831" w:rsidP="006C4831"/>
    <w:p w:rsidR="006C4831" w:rsidRPr="00A90A91" w:rsidRDefault="006C4831" w:rsidP="006C4831"/>
    <w:p w:rsidR="006C4831" w:rsidRPr="00A90A91" w:rsidRDefault="006C4831" w:rsidP="006C4831">
      <w:pPr>
        <w:spacing w:after="60"/>
        <w:jc w:val="center"/>
        <w:outlineLvl w:val="1"/>
        <w:rPr>
          <w:rFonts w:ascii="Cambria" w:hAnsi="Cambria"/>
          <w:i/>
          <w:sz w:val="24"/>
          <w:szCs w:val="24"/>
        </w:rPr>
      </w:pPr>
      <w:r w:rsidRPr="00A90A91">
        <w:rPr>
          <w:rFonts w:ascii="Cambria" w:hAnsi="Cambria"/>
          <w:i/>
          <w:sz w:val="24"/>
          <w:szCs w:val="24"/>
        </w:rPr>
        <w:t>This page left intentionally blank.</w:t>
      </w:r>
    </w:p>
    <w:p w:rsidR="006C4831" w:rsidRPr="00A90A91" w:rsidRDefault="006C4831" w:rsidP="006C4831">
      <w:pPr>
        <w:spacing w:after="60"/>
        <w:jc w:val="center"/>
        <w:outlineLvl w:val="1"/>
        <w:rPr>
          <w:rFonts w:ascii="Cambria" w:hAnsi="Cambria"/>
          <w:i/>
          <w:sz w:val="24"/>
          <w:szCs w:val="24"/>
        </w:rPr>
      </w:pPr>
    </w:p>
    <w:p w:rsidR="006C4831" w:rsidRPr="00A90A91" w:rsidRDefault="006C4831" w:rsidP="006C4831">
      <w:pPr>
        <w:spacing w:after="160" w:line="288" w:lineRule="auto"/>
        <w:jc w:val="left"/>
        <w:rPr>
          <w:rFonts w:ascii="Cambria" w:hAnsi="Cambria"/>
          <w:b/>
          <w:i/>
          <w:sz w:val="24"/>
          <w:szCs w:val="24"/>
        </w:rPr>
      </w:pPr>
      <w:r w:rsidRPr="00A90A91">
        <w:br w:type="page"/>
      </w:r>
      <w:r w:rsidRPr="00A90A91">
        <w:rPr>
          <w:b/>
        </w:rPr>
        <w:t xml:space="preserve">Insert Figure </w:t>
      </w:r>
      <w:r>
        <w:rPr>
          <w:b/>
        </w:rPr>
        <w:t>3.8</w:t>
      </w:r>
      <w:r w:rsidRPr="00A90A91">
        <w:rPr>
          <w:b/>
        </w:rPr>
        <w:t>-2- FEMA FIRM Map</w:t>
      </w:r>
    </w:p>
    <w:p w:rsidR="006C4831" w:rsidRPr="00A90A91" w:rsidRDefault="006C4831" w:rsidP="006C4831">
      <w:pPr>
        <w:spacing w:after="160" w:line="288" w:lineRule="auto"/>
        <w:ind w:left="2160"/>
        <w:jc w:val="left"/>
        <w:rPr>
          <w:rFonts w:ascii="Cambria" w:hAnsi="Cambria"/>
          <w:i/>
          <w:sz w:val="24"/>
          <w:szCs w:val="24"/>
        </w:rPr>
      </w:pPr>
      <w:r w:rsidRPr="00A90A91">
        <w:rPr>
          <w:rFonts w:ascii="Cambria" w:hAnsi="Cambria"/>
          <w:i/>
          <w:sz w:val="24"/>
          <w:szCs w:val="24"/>
        </w:rPr>
        <w:br w:type="page"/>
      </w:r>
    </w:p>
    <w:p w:rsidR="006C4831" w:rsidRPr="00A90A91" w:rsidRDefault="006C4831" w:rsidP="006C4831"/>
    <w:p w:rsidR="006C4831" w:rsidRPr="00A90A91" w:rsidRDefault="006C4831" w:rsidP="006C4831"/>
    <w:p w:rsidR="006C4831" w:rsidRPr="00A90A91" w:rsidRDefault="006C4831" w:rsidP="006C4831"/>
    <w:p w:rsidR="006C4831" w:rsidRPr="00A90A91" w:rsidRDefault="006C4831" w:rsidP="006C4831"/>
    <w:p w:rsidR="006C4831" w:rsidRPr="00A90A91" w:rsidRDefault="006C4831" w:rsidP="006C4831"/>
    <w:p w:rsidR="006C4831" w:rsidRPr="00A90A91" w:rsidRDefault="006C4831" w:rsidP="006C4831"/>
    <w:p w:rsidR="006C4831" w:rsidRPr="00A90A91" w:rsidRDefault="006C4831" w:rsidP="006C4831"/>
    <w:p w:rsidR="006C4831" w:rsidRPr="00A90A91" w:rsidRDefault="006C4831" w:rsidP="006C4831"/>
    <w:p w:rsidR="006C4831" w:rsidRPr="00A90A91" w:rsidRDefault="006C4831" w:rsidP="006C4831"/>
    <w:p w:rsidR="001309C7" w:rsidRDefault="006C4831" w:rsidP="001A5891">
      <w:pPr>
        <w:spacing w:after="60"/>
        <w:jc w:val="center"/>
        <w:outlineLvl w:val="1"/>
      </w:pPr>
      <w:r w:rsidRPr="00A90A91">
        <w:rPr>
          <w:rFonts w:ascii="Cambria" w:hAnsi="Cambria"/>
          <w:i/>
          <w:sz w:val="24"/>
          <w:szCs w:val="24"/>
        </w:rPr>
        <w:t>This page left intentionally blank.</w:t>
      </w:r>
    </w:p>
    <w:sectPr w:rsidR="001309C7" w:rsidSect="006C483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944"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EC6" w:rsidRDefault="00EE0EC6" w:rsidP="006C4831">
      <w:pPr>
        <w:spacing w:after="0" w:line="240" w:lineRule="auto"/>
      </w:pPr>
      <w:r>
        <w:separator/>
      </w:r>
    </w:p>
  </w:endnote>
  <w:endnote w:type="continuationSeparator" w:id="0">
    <w:p w:rsidR="00EE0EC6" w:rsidRDefault="00EE0EC6" w:rsidP="006C4831">
      <w:pPr>
        <w:spacing w:after="0" w:line="240" w:lineRule="auto"/>
      </w:pPr>
      <w:r>
        <w:continuationSeparator/>
      </w:r>
    </w:p>
  </w:endnote>
  <w:endnote w:type="continuationNotice" w:id="1">
    <w:p w:rsidR="00EE0EC6" w:rsidRDefault="00EE0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1401"/>
      <w:gridCol w:w="7671"/>
    </w:tblGrid>
    <w:tr w:rsidR="006C4831">
      <w:trPr>
        <w:trHeight w:val="360"/>
      </w:trPr>
      <w:tc>
        <w:tcPr>
          <w:tcW w:w="772" w:type="pct"/>
          <w:shd w:val="clear" w:color="auto" w:fill="D9D9D9"/>
          <w:vAlign w:val="center"/>
        </w:tcPr>
        <w:p w:rsidR="006C4831" w:rsidRPr="00E90E46" w:rsidRDefault="006C4831" w:rsidP="006C4831">
          <w:pPr>
            <w:pStyle w:val="Footer"/>
            <w:jc w:val="center"/>
          </w:pPr>
          <w:r w:rsidRPr="00E90E46">
            <w:rPr>
              <w:rFonts w:ascii="Cambria" w:hAnsi="Cambria"/>
              <w:lang w:val="en-US" w:eastAsia="en-US"/>
            </w:rPr>
            <w:t>3.8-</w:t>
          </w:r>
          <w:r w:rsidR="00311F08">
            <w:fldChar w:fldCharType="begin"/>
          </w:r>
          <w:r w:rsidR="00311F08">
            <w:instrText xml:space="preserve"> PAGE   \* MERGEFORMAT </w:instrText>
          </w:r>
          <w:r w:rsidR="00311F08">
            <w:fldChar w:fldCharType="separate"/>
          </w:r>
          <w:r w:rsidR="00311F08" w:rsidRPr="00311F08">
            <w:rPr>
              <w:rFonts w:ascii="Cambria" w:hAnsi="Cambria"/>
              <w:noProof/>
            </w:rPr>
            <w:t>34</w:t>
          </w:r>
          <w:r w:rsidR="00311F08">
            <w:rPr>
              <w:rFonts w:ascii="Cambria" w:hAnsi="Cambria"/>
              <w:noProof/>
            </w:rPr>
            <w:fldChar w:fldCharType="end"/>
          </w:r>
        </w:p>
      </w:tc>
      <w:tc>
        <w:tcPr>
          <w:tcW w:w="4228" w:type="pct"/>
          <w:vAlign w:val="center"/>
        </w:tcPr>
        <w:p w:rsidR="006C4831" w:rsidRPr="00E90E46" w:rsidRDefault="006C4831" w:rsidP="006C4831">
          <w:pPr>
            <w:pStyle w:val="Footer"/>
            <w:jc w:val="left"/>
          </w:pPr>
          <w:r w:rsidRPr="00E90E46">
            <w:rPr>
              <w:rFonts w:ascii="Cambria" w:hAnsi="Cambria"/>
              <w:lang w:val="en-US" w:eastAsia="en-US"/>
            </w:rPr>
            <w:t>Draft Environmental Impact Report – 2013 Cotati General Plan</w:t>
          </w:r>
        </w:p>
      </w:tc>
    </w:tr>
  </w:tbl>
  <w:p w:rsidR="006C4831" w:rsidRDefault="006C4831" w:rsidP="006C48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6C4831">
      <w:trPr>
        <w:trHeight w:val="360"/>
      </w:trPr>
      <w:tc>
        <w:tcPr>
          <w:tcW w:w="4228" w:type="pct"/>
          <w:vAlign w:val="center"/>
        </w:tcPr>
        <w:p w:rsidR="006C4831" w:rsidRPr="00E90E46" w:rsidRDefault="006C4831" w:rsidP="006C4831">
          <w:pPr>
            <w:pStyle w:val="Footer"/>
            <w:jc w:val="right"/>
          </w:pPr>
          <w:r w:rsidRPr="00E90E46">
            <w:rPr>
              <w:rFonts w:ascii="Cambria" w:hAnsi="Cambria"/>
              <w:lang w:val="en-US" w:eastAsia="en-US"/>
            </w:rPr>
            <w:t>Draft Environmental Impact Report – 2013 Cotati General Plan</w:t>
          </w:r>
        </w:p>
      </w:tc>
      <w:tc>
        <w:tcPr>
          <w:tcW w:w="772" w:type="pct"/>
          <w:shd w:val="clear" w:color="auto" w:fill="D9D9D9"/>
          <w:vAlign w:val="center"/>
        </w:tcPr>
        <w:p w:rsidR="006C4831" w:rsidRPr="00E90E46" w:rsidRDefault="006C4831" w:rsidP="006C4831">
          <w:pPr>
            <w:pStyle w:val="Footer"/>
            <w:jc w:val="center"/>
            <w:rPr>
              <w:rFonts w:ascii="Cambria" w:hAnsi="Cambria"/>
            </w:rPr>
          </w:pPr>
          <w:r w:rsidRPr="00E90E46">
            <w:rPr>
              <w:rFonts w:ascii="Cambria" w:hAnsi="Cambria"/>
              <w:lang w:val="en-US" w:eastAsia="en-US"/>
            </w:rPr>
            <w:t>3.8-</w:t>
          </w:r>
          <w:r w:rsidR="00311F08">
            <w:fldChar w:fldCharType="begin"/>
          </w:r>
          <w:r w:rsidR="00311F08">
            <w:instrText xml:space="preserve"> PAGE    \* MERGEFORMAT </w:instrText>
          </w:r>
          <w:r w:rsidR="00311F08">
            <w:fldChar w:fldCharType="separate"/>
          </w:r>
          <w:r w:rsidR="00311F08" w:rsidRPr="00311F08">
            <w:rPr>
              <w:rFonts w:ascii="Cambria" w:hAnsi="Cambria"/>
              <w:noProof/>
            </w:rPr>
            <w:t>33</w:t>
          </w:r>
          <w:r w:rsidR="00311F08">
            <w:rPr>
              <w:rFonts w:ascii="Cambria" w:hAnsi="Cambria"/>
              <w:noProof/>
            </w:rPr>
            <w:fldChar w:fldCharType="end"/>
          </w:r>
        </w:p>
      </w:tc>
    </w:tr>
  </w:tbl>
  <w:p w:rsidR="006C4831" w:rsidRDefault="006C4831" w:rsidP="006C48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6C4831">
      <w:trPr>
        <w:trHeight w:val="360"/>
      </w:trPr>
      <w:tc>
        <w:tcPr>
          <w:tcW w:w="4228" w:type="pct"/>
          <w:vAlign w:val="center"/>
        </w:tcPr>
        <w:p w:rsidR="006C4831" w:rsidRPr="00E90E46" w:rsidRDefault="006C4831" w:rsidP="006C4831">
          <w:pPr>
            <w:pStyle w:val="Footer"/>
            <w:jc w:val="right"/>
          </w:pPr>
          <w:r w:rsidRPr="00E90E46">
            <w:rPr>
              <w:rFonts w:ascii="Cambria" w:hAnsi="Cambria"/>
              <w:lang w:val="en-US" w:eastAsia="en-US"/>
            </w:rPr>
            <w:t>Draft Environmental Impact Report – 2013 Cotati General Plan</w:t>
          </w:r>
        </w:p>
      </w:tc>
      <w:tc>
        <w:tcPr>
          <w:tcW w:w="772" w:type="pct"/>
          <w:shd w:val="clear" w:color="auto" w:fill="D9D9D9"/>
          <w:vAlign w:val="center"/>
        </w:tcPr>
        <w:p w:rsidR="006C4831" w:rsidRPr="00E90E46" w:rsidRDefault="006C4831" w:rsidP="006C4831">
          <w:pPr>
            <w:pStyle w:val="Footer"/>
            <w:jc w:val="center"/>
            <w:rPr>
              <w:rFonts w:ascii="Cambria" w:hAnsi="Cambria"/>
            </w:rPr>
          </w:pPr>
          <w:r w:rsidRPr="00E90E46">
            <w:rPr>
              <w:rFonts w:ascii="Cambria" w:hAnsi="Cambria"/>
              <w:lang w:val="en-US" w:eastAsia="en-US"/>
            </w:rPr>
            <w:t>3.8-</w:t>
          </w:r>
          <w:r w:rsidR="00311F08">
            <w:fldChar w:fldCharType="begin"/>
          </w:r>
          <w:r w:rsidR="00311F08">
            <w:instrText xml:space="preserve"> PAGE    \* MERGEFORMAT </w:instrText>
          </w:r>
          <w:r w:rsidR="00311F08">
            <w:fldChar w:fldCharType="separate"/>
          </w:r>
          <w:r w:rsidR="00311F08" w:rsidRPr="00311F08">
            <w:rPr>
              <w:rFonts w:ascii="Cambria" w:hAnsi="Cambria"/>
              <w:noProof/>
            </w:rPr>
            <w:t>1</w:t>
          </w:r>
          <w:r w:rsidR="00311F08">
            <w:rPr>
              <w:rFonts w:ascii="Cambria" w:hAnsi="Cambria"/>
              <w:noProof/>
            </w:rPr>
            <w:fldChar w:fldCharType="end"/>
          </w:r>
        </w:p>
      </w:tc>
    </w:tr>
  </w:tbl>
  <w:p w:rsidR="006C4831" w:rsidRDefault="006C4831" w:rsidP="006C4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EC6" w:rsidRDefault="00EE0EC6" w:rsidP="006C4831">
      <w:pPr>
        <w:spacing w:after="0" w:line="240" w:lineRule="auto"/>
      </w:pPr>
      <w:r>
        <w:separator/>
      </w:r>
    </w:p>
  </w:footnote>
  <w:footnote w:type="continuationSeparator" w:id="0">
    <w:p w:rsidR="00EE0EC6" w:rsidRDefault="00EE0EC6" w:rsidP="006C4831">
      <w:pPr>
        <w:spacing w:after="0" w:line="240" w:lineRule="auto"/>
      </w:pPr>
      <w:r>
        <w:continuationSeparator/>
      </w:r>
    </w:p>
  </w:footnote>
  <w:footnote w:type="continuationNotice" w:id="1">
    <w:p w:rsidR="00EE0EC6" w:rsidRDefault="00EE0E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1361"/>
      <w:gridCol w:w="7711"/>
    </w:tblGrid>
    <w:tr w:rsidR="006C4831">
      <w:trPr>
        <w:trHeight w:val="475"/>
      </w:trPr>
      <w:tc>
        <w:tcPr>
          <w:tcW w:w="750" w:type="pct"/>
          <w:shd w:val="clear" w:color="auto" w:fill="D9D9D9"/>
          <w:vAlign w:val="center"/>
        </w:tcPr>
        <w:p w:rsidR="006C4831" w:rsidRPr="00E90E46" w:rsidRDefault="006C4831" w:rsidP="006C4831">
          <w:pPr>
            <w:pStyle w:val="Header"/>
            <w:jc w:val="center"/>
          </w:pPr>
          <w:r w:rsidRPr="00E90E46">
            <w:rPr>
              <w:sz w:val="32"/>
              <w:lang w:val="en-US" w:eastAsia="en-US"/>
            </w:rPr>
            <w:t>3.8</w:t>
          </w:r>
        </w:p>
      </w:tc>
      <w:tc>
        <w:tcPr>
          <w:tcW w:w="4250" w:type="pct"/>
          <w:shd w:val="clear" w:color="auto" w:fill="FFFFFF"/>
          <w:vAlign w:val="center"/>
        </w:tcPr>
        <w:p w:rsidR="006C4831" w:rsidRPr="00E90E46" w:rsidRDefault="006C4831" w:rsidP="006C4831">
          <w:pPr>
            <w:pStyle w:val="Header-EvenPage"/>
          </w:pPr>
          <w:r w:rsidRPr="00E90E46">
            <w:rPr>
              <w:lang w:val="en-US" w:eastAsia="en-US"/>
            </w:rPr>
            <w:t>Hydrology and Water Quality</w:t>
          </w:r>
        </w:p>
      </w:tc>
    </w:tr>
  </w:tbl>
  <w:p w:rsidR="001309C7" w:rsidRDefault="001309C7">
    <w:pPr>
      <w:pStyle w:val="MediumShading1-Accent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7711"/>
      <w:gridCol w:w="1361"/>
    </w:tblGrid>
    <w:tr w:rsidR="006C4831" w:rsidRPr="004437D4">
      <w:trPr>
        <w:trHeight w:val="475"/>
      </w:trPr>
      <w:tc>
        <w:tcPr>
          <w:tcW w:w="4250" w:type="pct"/>
          <w:shd w:val="clear" w:color="auto" w:fill="FFFFFF"/>
          <w:vAlign w:val="center"/>
        </w:tcPr>
        <w:p w:rsidR="006C4831" w:rsidRPr="00E90E46" w:rsidRDefault="006C4831" w:rsidP="006C4831">
          <w:pPr>
            <w:pStyle w:val="Header"/>
            <w:jc w:val="right"/>
            <w:rPr>
              <w:caps/>
              <w:color w:val="FFFFFF"/>
            </w:rPr>
          </w:pPr>
          <w:r w:rsidRPr="00E90E46">
            <w:rPr>
              <w:sz w:val="32"/>
              <w:shd w:val="clear" w:color="auto" w:fill="FFFFFF"/>
              <w:lang w:val="en-US" w:eastAsia="en-US"/>
            </w:rPr>
            <w:t>Hydrology and Water Quality</w:t>
          </w:r>
        </w:p>
      </w:tc>
      <w:tc>
        <w:tcPr>
          <w:tcW w:w="750" w:type="pct"/>
          <w:shd w:val="clear" w:color="auto" w:fill="D9D9D9"/>
          <w:vAlign w:val="center"/>
        </w:tcPr>
        <w:p w:rsidR="006C4831" w:rsidRPr="00E90E46" w:rsidRDefault="006C4831" w:rsidP="006C4831">
          <w:pPr>
            <w:pStyle w:val="Header"/>
            <w:jc w:val="center"/>
            <w:rPr>
              <w:sz w:val="32"/>
            </w:rPr>
          </w:pPr>
          <w:r w:rsidRPr="00E90E46">
            <w:rPr>
              <w:sz w:val="32"/>
              <w:lang w:val="en-US" w:eastAsia="en-US"/>
            </w:rPr>
            <w:t>3.8</w:t>
          </w:r>
        </w:p>
      </w:tc>
    </w:tr>
  </w:tbl>
  <w:p w:rsidR="006C4831" w:rsidRDefault="006C4831" w:rsidP="006C4831">
    <w:pPr>
      <w:pStyle w:val="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2" w:space="0" w:color="auto"/>
      </w:tblBorders>
      <w:tblCellMar>
        <w:top w:w="72" w:type="dxa"/>
        <w:left w:w="115" w:type="dxa"/>
        <w:bottom w:w="72" w:type="dxa"/>
        <w:right w:w="115" w:type="dxa"/>
      </w:tblCellMar>
      <w:tblLook w:val="04A0" w:firstRow="1" w:lastRow="0" w:firstColumn="1" w:lastColumn="0" w:noHBand="0" w:noVBand="1"/>
    </w:tblPr>
    <w:tblGrid>
      <w:gridCol w:w="7612"/>
      <w:gridCol w:w="1474"/>
    </w:tblGrid>
    <w:tr w:rsidR="006C4831" w:rsidRPr="00A65AF8">
      <w:trPr>
        <w:jc w:val="right"/>
      </w:trPr>
      <w:tc>
        <w:tcPr>
          <w:tcW w:w="4189" w:type="pct"/>
          <w:vAlign w:val="center"/>
        </w:tcPr>
        <w:p w:rsidR="006C4831" w:rsidRPr="00E90E46" w:rsidRDefault="006C4831" w:rsidP="006C4831">
          <w:pPr>
            <w:pStyle w:val="Header"/>
            <w:jc w:val="right"/>
          </w:pPr>
          <w:r w:rsidRPr="00E90E46">
            <w:rPr>
              <w:lang w:val="en-US" w:eastAsia="en-US"/>
            </w:rPr>
            <w:t>Hydrology and Water Quality</w:t>
          </w:r>
        </w:p>
      </w:tc>
      <w:tc>
        <w:tcPr>
          <w:tcW w:w="811" w:type="pct"/>
          <w:shd w:val="clear" w:color="auto" w:fill="D9D9D9"/>
          <w:vAlign w:val="center"/>
        </w:tcPr>
        <w:p w:rsidR="006C4831" w:rsidRPr="00E90E46" w:rsidRDefault="006C4831" w:rsidP="006C4831">
          <w:pPr>
            <w:pStyle w:val="Header"/>
            <w:jc w:val="center"/>
          </w:pPr>
          <w:r w:rsidRPr="00E90E46">
            <w:rPr>
              <w:lang w:val="en-US" w:eastAsia="en-US"/>
            </w:rPr>
            <w:t>3.8</w:t>
          </w:r>
        </w:p>
      </w:tc>
    </w:tr>
  </w:tbl>
  <w:p w:rsidR="001309C7" w:rsidRDefault="001309C7">
    <w:pPr>
      <w:pStyle w:val="MediumShading1-Accent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numPicBullet w:numPicBulletId="1">
    <w:pict>
      <v:shape id="_x0000_i1028" type="#_x0000_t75" style="width:3in;height:3in" o:bullet="t"/>
    </w:pict>
  </w:numPicBullet>
  <w:abstractNum w:abstractNumId="0">
    <w:nsid w:val="03FC1624"/>
    <w:multiLevelType w:val="hybridMultilevel"/>
    <w:tmpl w:val="22187520"/>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1">
    <w:nsid w:val="043B0580"/>
    <w:multiLevelType w:val="hybridMultilevel"/>
    <w:tmpl w:val="6D9201D2"/>
    <w:lvl w:ilvl="0" w:tplc="A530BA1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A58D9"/>
    <w:multiLevelType w:val="hybridMultilevel"/>
    <w:tmpl w:val="22187520"/>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3">
    <w:nsid w:val="06FD4F48"/>
    <w:multiLevelType w:val="hybridMultilevel"/>
    <w:tmpl w:val="221875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E30C2A"/>
    <w:multiLevelType w:val="hybridMultilevel"/>
    <w:tmpl w:val="C1EAEADA"/>
    <w:lvl w:ilvl="0" w:tplc="026E72A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83399"/>
    <w:multiLevelType w:val="hybridMultilevel"/>
    <w:tmpl w:val="4218EAA8"/>
    <w:lvl w:ilvl="0" w:tplc="6C7E8E50">
      <w:start w:val="1"/>
      <w:numFmt w:val="bullet"/>
      <w:pStyle w:val="ListBullet2"/>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7BB3CA2"/>
    <w:multiLevelType w:val="hybridMultilevel"/>
    <w:tmpl w:val="22187520"/>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7">
    <w:nsid w:val="3EBB4BE9"/>
    <w:multiLevelType w:val="hybridMultilevel"/>
    <w:tmpl w:val="E920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FB10A7"/>
    <w:multiLevelType w:val="hybridMultilevel"/>
    <w:tmpl w:val="3250AA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45207CD"/>
    <w:multiLevelType w:val="hybridMultilevel"/>
    <w:tmpl w:val="FA5407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7A75DA9"/>
    <w:multiLevelType w:val="hybridMultilevel"/>
    <w:tmpl w:val="AE0EBE98"/>
    <w:lvl w:ilvl="0" w:tplc="9D44C7C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673655"/>
    <w:multiLevelType w:val="hybridMultilevel"/>
    <w:tmpl w:val="C1EAEADA"/>
    <w:lvl w:ilvl="0" w:tplc="026E72A8">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3F3A08"/>
    <w:multiLevelType w:val="hybridMultilevel"/>
    <w:tmpl w:val="C1EAEADA"/>
    <w:lvl w:ilvl="0" w:tplc="026E72A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3F4868"/>
    <w:multiLevelType w:val="hybridMultilevel"/>
    <w:tmpl w:val="1B90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CB40E6"/>
    <w:multiLevelType w:val="hybridMultilevel"/>
    <w:tmpl w:val="FDBC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0"/>
  </w:num>
  <w:num w:numId="4">
    <w:abstractNumId w:val="1"/>
  </w:num>
  <w:num w:numId="5">
    <w:abstractNumId w:val="14"/>
  </w:num>
  <w:num w:numId="6">
    <w:abstractNumId w:val="7"/>
  </w:num>
  <w:num w:numId="7">
    <w:abstractNumId w:val="13"/>
  </w:num>
  <w:num w:numId="8">
    <w:abstractNumId w:val="9"/>
  </w:num>
  <w:num w:numId="9">
    <w:abstractNumId w:val="8"/>
  </w:num>
  <w:num w:numId="10">
    <w:abstractNumId w:val="0"/>
  </w:num>
  <w:num w:numId="11">
    <w:abstractNumId w:val="2"/>
  </w:num>
  <w:num w:numId="12">
    <w:abstractNumId w:val="6"/>
  </w:num>
  <w:num w:numId="13">
    <w:abstractNumId w:val="4"/>
  </w:num>
  <w:num w:numId="14">
    <w:abstractNumId w:val="12"/>
  </w:num>
  <w:num w:numId="15">
    <w:abstractNumId w:val="11"/>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Version" w:val="1"/>
    <w:docVar w:name="DOCID" w:val="OK"/>
  </w:docVars>
  <w:rsids>
    <w:rsidRoot w:val="00E44588"/>
    <w:rsid w:val="001309C7"/>
    <w:rsid w:val="001A5891"/>
    <w:rsid w:val="002F205D"/>
    <w:rsid w:val="00311F08"/>
    <w:rsid w:val="00370C6A"/>
    <w:rsid w:val="003E394C"/>
    <w:rsid w:val="00472B67"/>
    <w:rsid w:val="00473717"/>
    <w:rsid w:val="004F144F"/>
    <w:rsid w:val="00506DBA"/>
    <w:rsid w:val="005268E9"/>
    <w:rsid w:val="005A336D"/>
    <w:rsid w:val="005E0EC3"/>
    <w:rsid w:val="0063031A"/>
    <w:rsid w:val="006A0E45"/>
    <w:rsid w:val="006C4831"/>
    <w:rsid w:val="00895F14"/>
    <w:rsid w:val="008D37E0"/>
    <w:rsid w:val="00962396"/>
    <w:rsid w:val="00AA34FF"/>
    <w:rsid w:val="00BD32C7"/>
    <w:rsid w:val="00C0642D"/>
    <w:rsid w:val="00C34833"/>
    <w:rsid w:val="00CB5450"/>
    <w:rsid w:val="00D33560"/>
    <w:rsid w:val="00DD1F92"/>
    <w:rsid w:val="00E44588"/>
    <w:rsid w:val="00E503F9"/>
    <w:rsid w:val="00E823FC"/>
    <w:rsid w:val="00EE0E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annotation reference" w:uiPriority="99"/>
    <w:lsdException w:name="List Bullet" w:uiPriority="99" w:qFormat="1"/>
    <w:lsdException w:name="List Number" w:uiPriority="99"/>
    <w:lsdException w:name="List Bullet 2" w:uiPriority="99" w:qFormat="1"/>
    <w:lsdException w:name="List Bullet 3" w:uiPriority="99" w:qFormat="1"/>
    <w:lsdException w:name="List Number 2" w:uiPriority="99"/>
    <w:lsdException w:name="List Number 3"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EC6"/>
    <w:pPr>
      <w:spacing w:after="200" w:line="264" w:lineRule="auto"/>
      <w:jc w:val="both"/>
      <w:pPrChange w:id="0" w:author="Vicki Parker" w:date="2014-07-22T19:19:00Z">
        <w:pPr>
          <w:spacing w:after="200" w:line="264" w:lineRule="auto"/>
          <w:jc w:val="both"/>
        </w:pPr>
      </w:pPrChange>
    </w:pPr>
    <w:rPr>
      <w:sz w:val="22"/>
      <w:szCs w:val="22"/>
      <w:rPrChange w:id="0" w:author="Vicki Parker" w:date="2014-07-22T19:19:00Z">
        <w:rPr>
          <w:rFonts w:ascii="Calibri" w:hAnsi="Calibri"/>
          <w:sz w:val="22"/>
          <w:szCs w:val="22"/>
          <w:lang w:val="en-US" w:eastAsia="en-US" w:bidi="ar-SA"/>
        </w:rPr>
      </w:rPrChange>
    </w:rPr>
  </w:style>
  <w:style w:type="paragraph" w:styleId="Heading1">
    <w:name w:val="heading 1"/>
    <w:basedOn w:val="Normal"/>
    <w:next w:val="Normal"/>
    <w:link w:val="Heading1Char"/>
    <w:uiPriority w:val="9"/>
    <w:qFormat/>
    <w:rsid w:val="00136D27"/>
    <w:pPr>
      <w:spacing w:before="300" w:after="40"/>
      <w:jc w:val="left"/>
      <w:outlineLvl w:val="0"/>
    </w:pPr>
    <w:rPr>
      <w:rFonts w:ascii="Cambria" w:hAnsi="Cambria"/>
      <w:smallCaps/>
      <w:spacing w:val="5"/>
      <w:sz w:val="36"/>
      <w:szCs w:val="36"/>
      <w:lang w:val="x-none" w:eastAsia="x-none"/>
    </w:rPr>
  </w:style>
  <w:style w:type="paragraph" w:styleId="Heading2">
    <w:name w:val="heading 2"/>
    <w:basedOn w:val="Normal"/>
    <w:next w:val="Normal"/>
    <w:link w:val="Heading2Char"/>
    <w:uiPriority w:val="9"/>
    <w:qFormat/>
    <w:rsid w:val="00136D27"/>
    <w:pPr>
      <w:spacing w:before="240" w:after="80"/>
      <w:jc w:val="left"/>
      <w:outlineLvl w:val="1"/>
    </w:pPr>
    <w:rPr>
      <w:rFonts w:ascii="Cambria" w:hAnsi="Cambria"/>
      <w:smallCaps/>
      <w:spacing w:val="5"/>
      <w:sz w:val="32"/>
      <w:szCs w:val="32"/>
      <w:lang w:val="x-none" w:eastAsia="x-none"/>
    </w:rPr>
  </w:style>
  <w:style w:type="paragraph" w:styleId="Heading3">
    <w:name w:val="heading 3"/>
    <w:basedOn w:val="Normal"/>
    <w:next w:val="Normal"/>
    <w:link w:val="Heading3Char"/>
    <w:uiPriority w:val="9"/>
    <w:qFormat/>
    <w:rsid w:val="00877B93"/>
    <w:pPr>
      <w:keepNext/>
      <w:pBdr>
        <w:bottom w:val="single" w:sz="4" w:space="1" w:color="auto"/>
      </w:pBdr>
      <w:spacing w:after="60"/>
      <w:jc w:val="left"/>
      <w:outlineLvl w:val="2"/>
    </w:pPr>
    <w:rPr>
      <w:rFonts w:ascii="Cambria" w:hAnsi="Cambria"/>
      <w:smallCaps/>
      <w:spacing w:val="20"/>
      <w:sz w:val="30"/>
      <w:szCs w:val="30"/>
      <w:lang w:val="x-none" w:eastAsia="x-none"/>
    </w:rPr>
  </w:style>
  <w:style w:type="paragraph" w:styleId="Heading4">
    <w:name w:val="heading 4"/>
    <w:basedOn w:val="Normal"/>
    <w:next w:val="Normal"/>
    <w:link w:val="Heading4Char"/>
    <w:uiPriority w:val="9"/>
    <w:qFormat/>
    <w:rsid w:val="00877B93"/>
    <w:pPr>
      <w:keepNext/>
      <w:spacing w:before="240" w:after="60"/>
      <w:jc w:val="left"/>
      <w:outlineLvl w:val="3"/>
    </w:pPr>
    <w:rPr>
      <w:rFonts w:ascii="Cambria" w:hAnsi="Cambria"/>
      <w:b/>
      <w:sz w:val="26"/>
      <w:szCs w:val="26"/>
      <w:lang w:val="x-none" w:eastAsia="x-none"/>
    </w:rPr>
  </w:style>
  <w:style w:type="paragraph" w:styleId="Heading5">
    <w:name w:val="heading 5"/>
    <w:basedOn w:val="Normal"/>
    <w:next w:val="Normal"/>
    <w:link w:val="Heading5Char"/>
    <w:uiPriority w:val="9"/>
    <w:qFormat/>
    <w:rsid w:val="00A76537"/>
    <w:pPr>
      <w:keepNext/>
      <w:outlineLvl w:val="4"/>
    </w:pPr>
    <w:rPr>
      <w:rFonts w:ascii="Cambria" w:hAnsi="Cambria"/>
      <w:smallCaps/>
      <w:sz w:val="20"/>
      <w:lang w:val="x-none" w:eastAsia="x-none"/>
    </w:rPr>
  </w:style>
  <w:style w:type="paragraph" w:styleId="Heading6">
    <w:name w:val="heading 6"/>
    <w:basedOn w:val="Normal"/>
    <w:next w:val="Normal"/>
    <w:link w:val="Heading6Char"/>
    <w:uiPriority w:val="9"/>
    <w:qFormat/>
    <w:rsid w:val="00136D27"/>
    <w:pPr>
      <w:spacing w:after="0"/>
      <w:jc w:val="left"/>
      <w:outlineLvl w:val="5"/>
    </w:pPr>
    <w:rPr>
      <w:rFonts w:ascii="Cambria" w:hAnsi="Cambria"/>
      <w:b/>
      <w:i/>
      <w:color w:val="000000"/>
      <w:spacing w:val="5"/>
      <w:lang w:val="x-none" w:eastAsia="x-none"/>
    </w:rPr>
  </w:style>
  <w:style w:type="paragraph" w:styleId="Heading7">
    <w:name w:val="heading 7"/>
    <w:aliases w:val="Table Title"/>
    <w:basedOn w:val="Normal"/>
    <w:next w:val="Normal"/>
    <w:link w:val="Heading7Char"/>
    <w:uiPriority w:val="9"/>
    <w:qFormat/>
    <w:rsid w:val="00136D27"/>
    <w:pPr>
      <w:spacing w:after="0"/>
      <w:jc w:val="left"/>
      <w:outlineLvl w:val="6"/>
    </w:pPr>
    <w:rPr>
      <w:b/>
      <w:i/>
      <w:smallCaps/>
      <w:color w:val="000000"/>
      <w:spacing w:val="2"/>
      <w:lang w:val="x-none" w:eastAsia="x-none"/>
    </w:rPr>
  </w:style>
  <w:style w:type="paragraph" w:styleId="Heading8">
    <w:name w:val="heading 8"/>
    <w:aliases w:val="Heading 8 - Table Heading Row"/>
    <w:basedOn w:val="Heading5"/>
    <w:next w:val="Normal"/>
    <w:link w:val="Heading8Char"/>
    <w:uiPriority w:val="9"/>
    <w:qFormat/>
    <w:rsid w:val="00136D27"/>
    <w:pPr>
      <w:spacing w:after="0"/>
      <w:jc w:val="left"/>
      <w:outlineLvl w:val="7"/>
    </w:pPr>
  </w:style>
  <w:style w:type="paragraph" w:styleId="Heading9">
    <w:name w:val="heading 9"/>
    <w:basedOn w:val="Normal"/>
    <w:next w:val="Normal"/>
    <w:link w:val="Heading9Char"/>
    <w:uiPriority w:val="9"/>
    <w:qFormat/>
    <w:rsid w:val="00136D27"/>
    <w:pPr>
      <w:spacing w:after="0"/>
      <w:jc w:val="left"/>
      <w:outlineLvl w:val="8"/>
    </w:pPr>
    <w:rPr>
      <w:b/>
      <w:i/>
      <w:color w:val="7F7F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10C1"/>
    <w:rPr>
      <w:rFonts w:ascii="Cambria" w:eastAsia="Times New Roman" w:hAnsi="Cambria" w:cs="Times New Roman"/>
      <w:smallCaps/>
      <w:spacing w:val="5"/>
      <w:sz w:val="36"/>
      <w:szCs w:val="36"/>
      <w:lang w:bidi="ar-SA"/>
    </w:rPr>
  </w:style>
  <w:style w:type="character" w:customStyle="1" w:styleId="Heading2Char">
    <w:name w:val="Heading 2 Char"/>
    <w:link w:val="Heading2"/>
    <w:uiPriority w:val="9"/>
    <w:rsid w:val="00477926"/>
    <w:rPr>
      <w:rFonts w:ascii="Cambria" w:eastAsia="Times New Roman" w:hAnsi="Cambria" w:cs="Times New Roman"/>
      <w:smallCaps/>
      <w:spacing w:val="5"/>
      <w:sz w:val="32"/>
      <w:szCs w:val="32"/>
      <w:lang w:bidi="ar-SA"/>
    </w:rPr>
  </w:style>
  <w:style w:type="character" w:customStyle="1" w:styleId="Heading3Char">
    <w:name w:val="Heading 3 Char"/>
    <w:link w:val="Heading3"/>
    <w:uiPriority w:val="9"/>
    <w:rsid w:val="00350F4A"/>
    <w:rPr>
      <w:rFonts w:ascii="Cambria" w:eastAsia="Times New Roman" w:hAnsi="Cambria" w:cs="Times New Roman"/>
      <w:smallCaps/>
      <w:spacing w:val="20"/>
      <w:sz w:val="30"/>
      <w:szCs w:val="30"/>
      <w:lang w:bidi="ar-SA"/>
    </w:rPr>
  </w:style>
  <w:style w:type="character" w:customStyle="1" w:styleId="Heading4Char">
    <w:name w:val="Heading 4 Char"/>
    <w:link w:val="Heading4"/>
    <w:uiPriority w:val="9"/>
    <w:rsid w:val="00477926"/>
    <w:rPr>
      <w:rFonts w:ascii="Cambria" w:eastAsia="Times New Roman" w:hAnsi="Cambria" w:cs="Times New Roman"/>
      <w:b/>
      <w:sz w:val="26"/>
      <w:szCs w:val="26"/>
      <w:lang w:bidi="ar-SA"/>
    </w:rPr>
  </w:style>
  <w:style w:type="character" w:customStyle="1" w:styleId="Heading5Char">
    <w:name w:val="Heading 5 Char"/>
    <w:link w:val="Heading5"/>
    <w:uiPriority w:val="9"/>
    <w:rsid w:val="00BF10C1"/>
    <w:rPr>
      <w:rFonts w:ascii="Cambria" w:eastAsia="Times New Roman" w:hAnsi="Cambria" w:cs="Times New Roman"/>
      <w:smallCaps/>
      <w:szCs w:val="22"/>
      <w:lang w:bidi="ar-SA"/>
    </w:rPr>
  </w:style>
  <w:style w:type="character" w:customStyle="1" w:styleId="Heading6Char">
    <w:name w:val="Heading 6 Char"/>
    <w:link w:val="Heading6"/>
    <w:uiPriority w:val="9"/>
    <w:rsid w:val="00350F4A"/>
    <w:rPr>
      <w:rFonts w:ascii="Cambria" w:eastAsia="Times New Roman" w:hAnsi="Cambria" w:cs="Times New Roman"/>
      <w:b/>
      <w:i/>
      <w:color w:val="000000"/>
      <w:spacing w:val="5"/>
      <w:sz w:val="22"/>
      <w:szCs w:val="22"/>
      <w:lang w:bidi="ar-SA"/>
    </w:rPr>
  </w:style>
  <w:style w:type="character" w:customStyle="1" w:styleId="Heading7Char">
    <w:name w:val="Heading 7 Char"/>
    <w:aliases w:val="Table Title Char"/>
    <w:link w:val="Heading7"/>
    <w:uiPriority w:val="9"/>
    <w:rsid w:val="00477926"/>
    <w:rPr>
      <w:rFonts w:ascii="Calibri" w:eastAsia="Times New Roman" w:hAnsi="Calibri" w:cs="Times New Roman"/>
      <w:b/>
      <w:i/>
      <w:smallCaps/>
      <w:color w:val="000000"/>
      <w:spacing w:val="2"/>
      <w:sz w:val="22"/>
      <w:szCs w:val="22"/>
      <w:lang w:bidi="ar-SA"/>
    </w:rPr>
  </w:style>
  <w:style w:type="character" w:customStyle="1" w:styleId="Heading8Char">
    <w:name w:val="Heading 8 Char"/>
    <w:aliases w:val="Heading 8 - Table Heading Row Char"/>
    <w:link w:val="Heading8"/>
    <w:uiPriority w:val="9"/>
    <w:rsid w:val="00477926"/>
    <w:rPr>
      <w:rFonts w:ascii="Cambria" w:eastAsia="Times New Roman" w:hAnsi="Cambria" w:cs="Times New Roman"/>
      <w:smallCaps/>
      <w:sz w:val="20"/>
      <w:szCs w:val="22"/>
      <w:lang w:bidi="ar-SA"/>
    </w:rPr>
  </w:style>
  <w:style w:type="character" w:customStyle="1" w:styleId="Heading9Char">
    <w:name w:val="Heading 9 Char"/>
    <w:link w:val="Heading9"/>
    <w:uiPriority w:val="9"/>
    <w:rsid w:val="00477926"/>
    <w:rPr>
      <w:rFonts w:ascii="Calibri" w:eastAsia="Times New Roman" w:hAnsi="Calibri" w:cs="Times New Roman"/>
      <w:b/>
      <w:i/>
      <w:color w:val="7F7F7F"/>
      <w:sz w:val="22"/>
      <w:szCs w:val="22"/>
      <w:lang w:bidi="ar-SA"/>
    </w:rPr>
  </w:style>
  <w:style w:type="paragraph" w:styleId="BalloonText">
    <w:name w:val="Balloon Text"/>
    <w:basedOn w:val="Normal"/>
    <w:link w:val="BalloonTextChar"/>
    <w:uiPriority w:val="99"/>
    <w:unhideWhenUsed/>
    <w:rsid w:val="00136D2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rsid w:val="00136D27"/>
    <w:rPr>
      <w:rFonts w:ascii="Tahoma" w:eastAsia="Times New Roman" w:hAnsi="Tahoma" w:cs="Tahoma"/>
      <w:sz w:val="16"/>
      <w:szCs w:val="16"/>
      <w:lang w:bidi="ar-SA"/>
    </w:rPr>
  </w:style>
  <w:style w:type="paragraph" w:customStyle="1" w:styleId="ColorfulGrid-Accent11">
    <w:name w:val="Colorful Grid - Accent 11"/>
    <w:basedOn w:val="Normal"/>
    <w:next w:val="Normal"/>
    <w:uiPriority w:val="29"/>
    <w:qFormat/>
    <w:rsid w:val="00136D27"/>
    <w:pPr>
      <w:spacing w:after="160"/>
      <w:ind w:left="2160"/>
    </w:pPr>
    <w:rPr>
      <w:i/>
      <w:iCs/>
      <w:color w:val="0F243E"/>
      <w:szCs w:val="20"/>
      <w:lang w:bidi="en-US"/>
    </w:rPr>
  </w:style>
  <w:style w:type="character" w:styleId="Emphasis">
    <w:name w:val="Emphasis"/>
    <w:uiPriority w:val="20"/>
    <w:qFormat/>
    <w:rsid w:val="00136D27"/>
    <w:rPr>
      <w:i/>
      <w:iCs/>
    </w:rPr>
  </w:style>
  <w:style w:type="paragraph" w:styleId="Footer">
    <w:name w:val="footer"/>
    <w:basedOn w:val="Normal"/>
    <w:link w:val="FooterChar"/>
    <w:uiPriority w:val="99"/>
    <w:unhideWhenUsed/>
    <w:rsid w:val="00136D27"/>
    <w:pPr>
      <w:tabs>
        <w:tab w:val="center" w:pos="4680"/>
        <w:tab w:val="right" w:pos="9360"/>
      </w:tabs>
      <w:spacing w:after="0" w:line="240" w:lineRule="auto"/>
    </w:pPr>
    <w:rPr>
      <w:lang w:val="x-none" w:eastAsia="x-none"/>
    </w:rPr>
  </w:style>
  <w:style w:type="character" w:customStyle="1" w:styleId="FooterChar">
    <w:name w:val="Footer Char"/>
    <w:link w:val="Footer"/>
    <w:uiPriority w:val="99"/>
    <w:rsid w:val="00136D27"/>
    <w:rPr>
      <w:rFonts w:ascii="Calibri" w:eastAsia="Times New Roman" w:hAnsi="Calibri" w:cs="Times New Roman"/>
      <w:sz w:val="22"/>
      <w:szCs w:val="22"/>
      <w:lang w:bidi="ar-SA"/>
    </w:rPr>
  </w:style>
  <w:style w:type="paragraph" w:styleId="Header">
    <w:name w:val="header"/>
    <w:aliases w:val="First Page"/>
    <w:basedOn w:val="Heading1"/>
    <w:link w:val="HeaderChar"/>
    <w:uiPriority w:val="99"/>
    <w:unhideWhenUsed/>
    <w:rsid w:val="00136D27"/>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136D27"/>
    <w:rPr>
      <w:rFonts w:ascii="Cambria" w:eastAsia="Times New Roman" w:hAnsi="Cambria" w:cs="Times New Roman"/>
      <w:smallCaps/>
      <w:spacing w:val="5"/>
      <w:sz w:val="36"/>
      <w:szCs w:val="36"/>
      <w:lang w:bidi="ar-SA"/>
    </w:rPr>
  </w:style>
  <w:style w:type="paragraph" w:customStyle="1" w:styleId="Header-EvenPage">
    <w:name w:val="Header - Even Page"/>
    <w:basedOn w:val="Header"/>
    <w:qFormat/>
    <w:rsid w:val="00136D27"/>
    <w:rPr>
      <w:sz w:val="32"/>
    </w:rPr>
  </w:style>
  <w:style w:type="character" w:styleId="Hyperlink">
    <w:name w:val="Hyperlink"/>
    <w:uiPriority w:val="99"/>
    <w:unhideWhenUsed/>
    <w:rsid w:val="00136D27"/>
    <w:rPr>
      <w:color w:val="0000FF"/>
      <w:u w:val="single"/>
    </w:rPr>
  </w:style>
  <w:style w:type="character" w:customStyle="1" w:styleId="Impact-MMChar">
    <w:name w:val="Impact-MM Char"/>
    <w:rsid w:val="00136D27"/>
    <w:rPr>
      <w:rFonts w:ascii="Century Gothic" w:hAnsi="Century Gothic"/>
      <w:bCs/>
      <w:szCs w:val="24"/>
      <w:lang w:val="en-US" w:eastAsia="en-US" w:bidi="ar-SA"/>
    </w:rPr>
  </w:style>
  <w:style w:type="paragraph" w:styleId="ListBullet">
    <w:name w:val="List Bullet"/>
    <w:basedOn w:val="Normal"/>
    <w:uiPriority w:val="99"/>
    <w:unhideWhenUsed/>
    <w:qFormat/>
    <w:rsid w:val="00136D27"/>
    <w:pPr>
      <w:numPr>
        <w:numId w:val="1"/>
      </w:numPr>
      <w:contextualSpacing/>
    </w:pPr>
  </w:style>
  <w:style w:type="paragraph" w:styleId="ListBullet2">
    <w:name w:val="List Bullet 2"/>
    <w:basedOn w:val="Normal"/>
    <w:uiPriority w:val="99"/>
    <w:unhideWhenUsed/>
    <w:qFormat/>
    <w:rsid w:val="00136D27"/>
    <w:pPr>
      <w:numPr>
        <w:numId w:val="2"/>
      </w:numPr>
      <w:contextualSpacing/>
    </w:pPr>
  </w:style>
  <w:style w:type="paragraph" w:styleId="ListBullet3">
    <w:name w:val="List Bullet 3"/>
    <w:basedOn w:val="Normal"/>
    <w:uiPriority w:val="99"/>
    <w:unhideWhenUsed/>
    <w:qFormat/>
    <w:rsid w:val="00136D27"/>
    <w:pPr>
      <w:tabs>
        <w:tab w:val="num" w:pos="1080"/>
      </w:tabs>
      <w:ind w:left="1080" w:hanging="360"/>
      <w:contextualSpacing/>
    </w:pPr>
  </w:style>
  <w:style w:type="paragraph" w:styleId="ListNumber">
    <w:name w:val="List Number"/>
    <w:basedOn w:val="Normal"/>
    <w:uiPriority w:val="99"/>
    <w:unhideWhenUsed/>
    <w:rsid w:val="00136D27"/>
    <w:pPr>
      <w:tabs>
        <w:tab w:val="num" w:pos="360"/>
      </w:tabs>
      <w:ind w:left="360" w:hanging="360"/>
      <w:contextualSpacing/>
    </w:pPr>
  </w:style>
  <w:style w:type="paragraph" w:styleId="ListNumber2">
    <w:name w:val="List Number 2"/>
    <w:basedOn w:val="Normal"/>
    <w:uiPriority w:val="99"/>
    <w:unhideWhenUsed/>
    <w:rsid w:val="00136D27"/>
    <w:pPr>
      <w:tabs>
        <w:tab w:val="num" w:pos="720"/>
      </w:tabs>
      <w:ind w:left="720" w:hanging="360"/>
      <w:contextualSpacing/>
    </w:pPr>
  </w:style>
  <w:style w:type="paragraph" w:styleId="ListNumber3">
    <w:name w:val="List Number 3"/>
    <w:basedOn w:val="Normal"/>
    <w:uiPriority w:val="99"/>
    <w:unhideWhenUsed/>
    <w:rsid w:val="00136D27"/>
    <w:pPr>
      <w:tabs>
        <w:tab w:val="num" w:pos="1080"/>
      </w:tabs>
      <w:ind w:left="1080" w:hanging="360"/>
      <w:contextualSpacing/>
    </w:pPr>
  </w:style>
  <w:style w:type="paragraph" w:customStyle="1" w:styleId="MediumGrid1-Accent21">
    <w:name w:val="Medium Grid 1 - Accent 21"/>
    <w:basedOn w:val="Normal"/>
    <w:uiPriority w:val="34"/>
    <w:qFormat/>
    <w:rsid w:val="00136D27"/>
    <w:pPr>
      <w:ind w:left="1080" w:hanging="360"/>
      <w:contextualSpacing/>
    </w:pPr>
  </w:style>
  <w:style w:type="paragraph" w:customStyle="1" w:styleId="MediumShading1-Accent11">
    <w:name w:val="Medium Shading 1 - Accent 11"/>
    <w:uiPriority w:val="1"/>
    <w:qFormat/>
    <w:rsid w:val="00136D27"/>
    <w:pPr>
      <w:jc w:val="both"/>
    </w:pPr>
    <w:rPr>
      <w:sz w:val="22"/>
      <w:szCs w:val="22"/>
    </w:rPr>
  </w:style>
  <w:style w:type="paragraph" w:styleId="NormalWeb">
    <w:name w:val="Normal (Web)"/>
    <w:basedOn w:val="Normal"/>
    <w:uiPriority w:val="99"/>
    <w:unhideWhenUsed/>
    <w:rsid w:val="00136D27"/>
    <w:pPr>
      <w:spacing w:before="168" w:after="216" w:line="240" w:lineRule="auto"/>
      <w:jc w:val="left"/>
    </w:pPr>
    <w:rPr>
      <w:rFonts w:ascii="Times New Roman" w:hAnsi="Times New Roman"/>
      <w:sz w:val="24"/>
      <w:szCs w:val="24"/>
    </w:rPr>
  </w:style>
  <w:style w:type="paragraph" w:customStyle="1" w:styleId="MediumGrid2-Accent21">
    <w:name w:val="Medium Grid 2 - Accent 21"/>
    <w:basedOn w:val="Normal"/>
    <w:next w:val="Normal"/>
    <w:link w:val="MediumGrid2-Accent2Char"/>
    <w:uiPriority w:val="29"/>
    <w:rsid w:val="00136D27"/>
    <w:rPr>
      <w:i/>
      <w:lang w:val="x-none" w:eastAsia="x-none"/>
    </w:rPr>
  </w:style>
  <w:style w:type="character" w:customStyle="1" w:styleId="MediumGrid2-Accent2Char">
    <w:name w:val="Medium Grid 2 - Accent 2 Char"/>
    <w:link w:val="MediumGrid2-Accent21"/>
    <w:uiPriority w:val="29"/>
    <w:rsid w:val="00136D27"/>
    <w:rPr>
      <w:rFonts w:ascii="Calibri" w:eastAsia="Times New Roman" w:hAnsi="Calibri" w:cs="Times New Roman"/>
      <w:i/>
      <w:sz w:val="22"/>
      <w:szCs w:val="22"/>
      <w:lang w:bidi="ar-SA"/>
    </w:rPr>
  </w:style>
  <w:style w:type="paragraph" w:customStyle="1" w:styleId="Source">
    <w:name w:val="Source"/>
    <w:next w:val="Normal"/>
    <w:qFormat/>
    <w:rsid w:val="00136D27"/>
    <w:pPr>
      <w:spacing w:after="160" w:line="288" w:lineRule="auto"/>
      <w:ind w:left="90"/>
      <w:jc w:val="both"/>
    </w:pPr>
    <w:rPr>
      <w:i/>
      <w:iCs/>
      <w:smallCaps/>
      <w:lang w:bidi="en-US"/>
    </w:rPr>
  </w:style>
  <w:style w:type="character" w:customStyle="1" w:styleId="SubtleEmphasis1">
    <w:name w:val="Subtle Emphasis1"/>
    <w:uiPriority w:val="19"/>
    <w:qFormat/>
    <w:rsid w:val="00136D27"/>
    <w:rPr>
      <w:i/>
      <w:iCs/>
      <w:color w:val="808080"/>
    </w:rPr>
  </w:style>
  <w:style w:type="character" w:customStyle="1" w:styleId="SubtleEmphasis10">
    <w:name w:val="Subtle Emphasis1"/>
    <w:uiPriority w:val="19"/>
    <w:qFormat/>
    <w:rsid w:val="00136D27"/>
    <w:rPr>
      <w:smallCaps/>
      <w:dstrike w:val="0"/>
      <w:color w:val="5A5A5A"/>
      <w:vertAlign w:val="baseline"/>
    </w:rPr>
  </w:style>
  <w:style w:type="table" w:styleId="TableGrid">
    <w:name w:val="Table Grid"/>
    <w:basedOn w:val="TableNormal"/>
    <w:uiPriority w:val="1"/>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1"/>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367262"/>
    <w:pPr>
      <w:jc w:val="center"/>
    </w:pPr>
    <w:rPr>
      <w:i/>
    </w:rPr>
  </w:style>
  <w:style w:type="paragraph" w:customStyle="1" w:styleId="TableText">
    <w:name w:val="Table Text"/>
    <w:basedOn w:val="Normal"/>
    <w:link w:val="TableTextChar"/>
    <w:rsid w:val="00136D27"/>
    <w:pPr>
      <w:spacing w:before="120" w:after="120" w:line="240" w:lineRule="auto"/>
    </w:pPr>
    <w:rPr>
      <w:rFonts w:ascii="Cambria" w:hAnsi="Cambria"/>
      <w:sz w:val="18"/>
      <w:szCs w:val="18"/>
      <w:lang w:val="x-none" w:eastAsia="x-none"/>
    </w:rPr>
  </w:style>
  <w:style w:type="paragraph" w:customStyle="1" w:styleId="TextBox">
    <w:name w:val="Text Box"/>
    <w:basedOn w:val="Normal"/>
    <w:rsid w:val="00136D27"/>
    <w:pPr>
      <w:spacing w:after="0" w:line="240" w:lineRule="auto"/>
      <w:jc w:val="left"/>
    </w:pPr>
    <w:rPr>
      <w:rFonts w:ascii="Arial" w:hAnsi="Arial"/>
      <w:b/>
      <w:caps/>
      <w:spacing w:val="-3"/>
      <w:sz w:val="28"/>
    </w:rPr>
  </w:style>
  <w:style w:type="paragraph" w:customStyle="1" w:styleId="TOCHeading1">
    <w:name w:val="TOC Heading1"/>
    <w:basedOn w:val="Heading1"/>
    <w:next w:val="Normal"/>
    <w:uiPriority w:val="39"/>
    <w:unhideWhenUsed/>
    <w:qFormat/>
    <w:rsid w:val="00136D27"/>
    <w:pPr>
      <w:outlineLvl w:val="9"/>
    </w:pPr>
  </w:style>
  <w:style w:type="paragraph" w:customStyle="1" w:styleId="TOCHeading10">
    <w:name w:val="TOC Heading1"/>
    <w:basedOn w:val="Heading1"/>
    <w:next w:val="Normal"/>
    <w:uiPriority w:val="39"/>
    <w:unhideWhenUsed/>
    <w:qFormat/>
    <w:rsid w:val="00136D27"/>
  </w:style>
  <w:style w:type="paragraph" w:customStyle="1" w:styleId="MediumList2-Accent21">
    <w:name w:val="Medium List 2 - Accent 21"/>
    <w:hidden/>
    <w:rsid w:val="00BF1663"/>
    <w:rPr>
      <w:sz w:val="22"/>
      <w:szCs w:val="22"/>
    </w:rPr>
  </w:style>
  <w:style w:type="character" w:styleId="CommentReference">
    <w:name w:val="annotation reference"/>
    <w:uiPriority w:val="99"/>
    <w:rsid w:val="0009753A"/>
    <w:rPr>
      <w:sz w:val="16"/>
      <w:szCs w:val="16"/>
    </w:rPr>
  </w:style>
  <w:style w:type="paragraph" w:styleId="CommentText">
    <w:name w:val="annotation text"/>
    <w:basedOn w:val="Normal"/>
    <w:link w:val="CommentTextChar"/>
    <w:rsid w:val="0009753A"/>
    <w:rPr>
      <w:sz w:val="20"/>
      <w:szCs w:val="20"/>
    </w:rPr>
  </w:style>
  <w:style w:type="character" w:customStyle="1" w:styleId="CommentTextChar">
    <w:name w:val="Comment Text Char"/>
    <w:basedOn w:val="DefaultParagraphFont"/>
    <w:link w:val="CommentText"/>
    <w:rsid w:val="0009753A"/>
  </w:style>
  <w:style w:type="paragraph" w:styleId="CommentSubject">
    <w:name w:val="annotation subject"/>
    <w:basedOn w:val="CommentText"/>
    <w:next w:val="CommentText"/>
    <w:link w:val="CommentSubjectChar"/>
    <w:rsid w:val="0009753A"/>
    <w:rPr>
      <w:b/>
      <w:bCs/>
      <w:lang w:val="x-none" w:eastAsia="x-none"/>
    </w:rPr>
  </w:style>
  <w:style w:type="character" w:customStyle="1" w:styleId="CommentSubjectChar">
    <w:name w:val="Comment Subject Char"/>
    <w:link w:val="CommentSubject"/>
    <w:rsid w:val="0009753A"/>
    <w:rPr>
      <w:b/>
      <w:bCs/>
    </w:rPr>
  </w:style>
  <w:style w:type="character" w:customStyle="1" w:styleId="TableTextChar">
    <w:name w:val="Table Text Char"/>
    <w:link w:val="TableText"/>
    <w:rsid w:val="003F6926"/>
    <w:rPr>
      <w:rFonts w:ascii="Cambria" w:hAnsi="Cambria"/>
      <w:sz w:val="18"/>
      <w:szCs w:val="18"/>
    </w:rPr>
  </w:style>
  <w:style w:type="paragraph" w:customStyle="1" w:styleId="Default">
    <w:name w:val="Default"/>
    <w:rsid w:val="00A57627"/>
    <w:pPr>
      <w:autoSpaceDE w:val="0"/>
      <w:autoSpaceDN w:val="0"/>
      <w:adjustRightInd w:val="0"/>
    </w:pPr>
    <w:rPr>
      <w:rFonts w:ascii="Arial" w:eastAsia="Calibri" w:hAnsi="Arial" w:cs="Arial"/>
      <w:color w:val="000000"/>
      <w:sz w:val="24"/>
      <w:szCs w:val="24"/>
    </w:rPr>
  </w:style>
  <w:style w:type="paragraph" w:customStyle="1" w:styleId="Policy">
    <w:name w:val="Policy"/>
    <w:basedOn w:val="Normal"/>
    <w:qFormat/>
    <w:rsid w:val="001976CF"/>
    <w:pPr>
      <w:tabs>
        <w:tab w:val="left" w:pos="720"/>
      </w:tabs>
      <w:spacing w:after="240" w:line="240" w:lineRule="auto"/>
      <w:ind w:left="720"/>
    </w:pPr>
    <w:rPr>
      <w:bCs/>
      <w:szCs w:val="24"/>
    </w:rPr>
  </w:style>
  <w:style w:type="paragraph" w:customStyle="1" w:styleId="Action">
    <w:name w:val="Action"/>
    <w:qFormat/>
    <w:rsid w:val="001976CF"/>
    <w:pPr>
      <w:spacing w:after="200"/>
      <w:ind w:left="1166"/>
    </w:pPr>
    <w:rPr>
      <w:bCs/>
      <w:i/>
      <w:sz w:val="22"/>
      <w:szCs w:val="24"/>
    </w:rPr>
  </w:style>
  <w:style w:type="paragraph" w:customStyle="1" w:styleId="TableCenter">
    <w:name w:val="Table Center"/>
    <w:basedOn w:val="Normal"/>
    <w:rsid w:val="00337913"/>
    <w:pPr>
      <w:autoSpaceDE w:val="0"/>
      <w:autoSpaceDN w:val="0"/>
      <w:adjustRightInd w:val="0"/>
      <w:spacing w:after="0" w:line="240" w:lineRule="auto"/>
      <w:jc w:val="left"/>
    </w:pPr>
    <w:rPr>
      <w:rFonts w:ascii="Arial" w:hAnsi="Arial" w:cs="Arial"/>
      <w:sz w:val="17"/>
      <w:szCs w:val="17"/>
    </w:rPr>
  </w:style>
  <w:style w:type="paragraph" w:customStyle="1" w:styleId="ColusaGoal">
    <w:name w:val="ColusaGoal"/>
    <w:basedOn w:val="Normal"/>
    <w:qFormat/>
    <w:rsid w:val="001E7CDC"/>
    <w:pPr>
      <w:spacing w:before="120" w:after="120" w:line="276" w:lineRule="auto"/>
      <w:ind w:left="1530" w:hanging="1530"/>
      <w:jc w:val="left"/>
    </w:pPr>
    <w:rPr>
      <w:rFonts w:ascii="Palatino Linotype" w:eastAsia="Cambria" w:hAnsi="Palatino Linotype" w:cs="Courier"/>
      <w:b/>
      <w:color w:val="632423"/>
    </w:rPr>
  </w:style>
  <w:style w:type="paragraph" w:customStyle="1" w:styleId="Objective">
    <w:name w:val="Objective"/>
    <w:basedOn w:val="Normal"/>
    <w:qFormat/>
    <w:rsid w:val="001E7CDC"/>
    <w:pPr>
      <w:tabs>
        <w:tab w:val="left" w:pos="3870"/>
      </w:tabs>
      <w:spacing w:before="40" w:line="240" w:lineRule="auto"/>
      <w:ind w:left="1627" w:hanging="1627"/>
      <w:jc w:val="left"/>
    </w:pPr>
    <w:rPr>
      <w:rFonts w:eastAsia="Cambria"/>
      <w:b/>
      <w:i/>
      <w:color w:val="6324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annotation reference" w:uiPriority="99"/>
    <w:lsdException w:name="List Bullet" w:uiPriority="99" w:qFormat="1"/>
    <w:lsdException w:name="List Number" w:uiPriority="99"/>
    <w:lsdException w:name="List Bullet 2" w:uiPriority="99" w:qFormat="1"/>
    <w:lsdException w:name="List Bullet 3" w:uiPriority="99" w:qFormat="1"/>
    <w:lsdException w:name="List Number 2" w:uiPriority="99"/>
    <w:lsdException w:name="List Number 3"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EC6"/>
    <w:pPr>
      <w:spacing w:after="200" w:line="264" w:lineRule="auto"/>
      <w:jc w:val="both"/>
      <w:pPrChange w:id="1" w:author="Vicki Parker" w:date="2014-07-22T19:19:00Z">
        <w:pPr>
          <w:spacing w:after="200" w:line="264" w:lineRule="auto"/>
          <w:jc w:val="both"/>
        </w:pPr>
      </w:pPrChange>
    </w:pPr>
    <w:rPr>
      <w:sz w:val="22"/>
      <w:szCs w:val="22"/>
      <w:rPrChange w:id="1" w:author="Vicki Parker" w:date="2014-07-22T19:19:00Z">
        <w:rPr>
          <w:rFonts w:ascii="Calibri" w:hAnsi="Calibri"/>
          <w:sz w:val="22"/>
          <w:szCs w:val="22"/>
          <w:lang w:val="en-US" w:eastAsia="en-US" w:bidi="ar-SA"/>
        </w:rPr>
      </w:rPrChange>
    </w:rPr>
  </w:style>
  <w:style w:type="paragraph" w:styleId="Heading1">
    <w:name w:val="heading 1"/>
    <w:basedOn w:val="Normal"/>
    <w:next w:val="Normal"/>
    <w:link w:val="Heading1Char"/>
    <w:uiPriority w:val="9"/>
    <w:qFormat/>
    <w:rsid w:val="00136D27"/>
    <w:pPr>
      <w:spacing w:before="300" w:after="40"/>
      <w:jc w:val="left"/>
      <w:outlineLvl w:val="0"/>
    </w:pPr>
    <w:rPr>
      <w:rFonts w:ascii="Cambria" w:hAnsi="Cambria"/>
      <w:smallCaps/>
      <w:spacing w:val="5"/>
      <w:sz w:val="36"/>
      <w:szCs w:val="36"/>
      <w:lang w:val="x-none" w:eastAsia="x-none"/>
    </w:rPr>
  </w:style>
  <w:style w:type="paragraph" w:styleId="Heading2">
    <w:name w:val="heading 2"/>
    <w:basedOn w:val="Normal"/>
    <w:next w:val="Normal"/>
    <w:link w:val="Heading2Char"/>
    <w:uiPriority w:val="9"/>
    <w:qFormat/>
    <w:rsid w:val="00136D27"/>
    <w:pPr>
      <w:spacing w:before="240" w:after="80"/>
      <w:jc w:val="left"/>
      <w:outlineLvl w:val="1"/>
    </w:pPr>
    <w:rPr>
      <w:rFonts w:ascii="Cambria" w:hAnsi="Cambria"/>
      <w:smallCaps/>
      <w:spacing w:val="5"/>
      <w:sz w:val="32"/>
      <w:szCs w:val="32"/>
      <w:lang w:val="x-none" w:eastAsia="x-none"/>
    </w:rPr>
  </w:style>
  <w:style w:type="paragraph" w:styleId="Heading3">
    <w:name w:val="heading 3"/>
    <w:basedOn w:val="Normal"/>
    <w:next w:val="Normal"/>
    <w:link w:val="Heading3Char"/>
    <w:uiPriority w:val="9"/>
    <w:qFormat/>
    <w:rsid w:val="00877B93"/>
    <w:pPr>
      <w:keepNext/>
      <w:pBdr>
        <w:bottom w:val="single" w:sz="4" w:space="1" w:color="auto"/>
      </w:pBdr>
      <w:spacing w:after="60"/>
      <w:jc w:val="left"/>
      <w:outlineLvl w:val="2"/>
    </w:pPr>
    <w:rPr>
      <w:rFonts w:ascii="Cambria" w:hAnsi="Cambria"/>
      <w:smallCaps/>
      <w:spacing w:val="20"/>
      <w:sz w:val="30"/>
      <w:szCs w:val="30"/>
      <w:lang w:val="x-none" w:eastAsia="x-none"/>
    </w:rPr>
  </w:style>
  <w:style w:type="paragraph" w:styleId="Heading4">
    <w:name w:val="heading 4"/>
    <w:basedOn w:val="Normal"/>
    <w:next w:val="Normal"/>
    <w:link w:val="Heading4Char"/>
    <w:uiPriority w:val="9"/>
    <w:qFormat/>
    <w:rsid w:val="00877B93"/>
    <w:pPr>
      <w:keepNext/>
      <w:spacing w:before="240" w:after="60"/>
      <w:jc w:val="left"/>
      <w:outlineLvl w:val="3"/>
    </w:pPr>
    <w:rPr>
      <w:rFonts w:ascii="Cambria" w:hAnsi="Cambria"/>
      <w:b/>
      <w:sz w:val="26"/>
      <w:szCs w:val="26"/>
      <w:lang w:val="x-none" w:eastAsia="x-none"/>
    </w:rPr>
  </w:style>
  <w:style w:type="paragraph" w:styleId="Heading5">
    <w:name w:val="heading 5"/>
    <w:basedOn w:val="Normal"/>
    <w:next w:val="Normal"/>
    <w:link w:val="Heading5Char"/>
    <w:uiPriority w:val="9"/>
    <w:qFormat/>
    <w:rsid w:val="00A76537"/>
    <w:pPr>
      <w:keepNext/>
      <w:outlineLvl w:val="4"/>
    </w:pPr>
    <w:rPr>
      <w:rFonts w:ascii="Cambria" w:hAnsi="Cambria"/>
      <w:smallCaps/>
      <w:sz w:val="20"/>
      <w:lang w:val="x-none" w:eastAsia="x-none"/>
    </w:rPr>
  </w:style>
  <w:style w:type="paragraph" w:styleId="Heading6">
    <w:name w:val="heading 6"/>
    <w:basedOn w:val="Normal"/>
    <w:next w:val="Normal"/>
    <w:link w:val="Heading6Char"/>
    <w:uiPriority w:val="9"/>
    <w:qFormat/>
    <w:rsid w:val="00136D27"/>
    <w:pPr>
      <w:spacing w:after="0"/>
      <w:jc w:val="left"/>
      <w:outlineLvl w:val="5"/>
    </w:pPr>
    <w:rPr>
      <w:rFonts w:ascii="Cambria" w:hAnsi="Cambria"/>
      <w:b/>
      <w:i/>
      <w:color w:val="000000"/>
      <w:spacing w:val="5"/>
      <w:lang w:val="x-none" w:eastAsia="x-none"/>
    </w:rPr>
  </w:style>
  <w:style w:type="paragraph" w:styleId="Heading7">
    <w:name w:val="heading 7"/>
    <w:aliases w:val="Table Title"/>
    <w:basedOn w:val="Normal"/>
    <w:next w:val="Normal"/>
    <w:link w:val="Heading7Char"/>
    <w:uiPriority w:val="9"/>
    <w:qFormat/>
    <w:rsid w:val="00136D27"/>
    <w:pPr>
      <w:spacing w:after="0"/>
      <w:jc w:val="left"/>
      <w:outlineLvl w:val="6"/>
    </w:pPr>
    <w:rPr>
      <w:b/>
      <w:i/>
      <w:smallCaps/>
      <w:color w:val="000000"/>
      <w:spacing w:val="2"/>
      <w:lang w:val="x-none" w:eastAsia="x-none"/>
    </w:rPr>
  </w:style>
  <w:style w:type="paragraph" w:styleId="Heading8">
    <w:name w:val="heading 8"/>
    <w:aliases w:val="Heading 8 - Table Heading Row"/>
    <w:basedOn w:val="Heading5"/>
    <w:next w:val="Normal"/>
    <w:link w:val="Heading8Char"/>
    <w:uiPriority w:val="9"/>
    <w:qFormat/>
    <w:rsid w:val="00136D27"/>
    <w:pPr>
      <w:spacing w:after="0"/>
      <w:jc w:val="left"/>
      <w:outlineLvl w:val="7"/>
    </w:pPr>
  </w:style>
  <w:style w:type="paragraph" w:styleId="Heading9">
    <w:name w:val="heading 9"/>
    <w:basedOn w:val="Normal"/>
    <w:next w:val="Normal"/>
    <w:link w:val="Heading9Char"/>
    <w:uiPriority w:val="9"/>
    <w:qFormat/>
    <w:rsid w:val="00136D27"/>
    <w:pPr>
      <w:spacing w:after="0"/>
      <w:jc w:val="left"/>
      <w:outlineLvl w:val="8"/>
    </w:pPr>
    <w:rPr>
      <w:b/>
      <w:i/>
      <w:color w:val="7F7F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10C1"/>
    <w:rPr>
      <w:rFonts w:ascii="Cambria" w:eastAsia="Times New Roman" w:hAnsi="Cambria" w:cs="Times New Roman"/>
      <w:smallCaps/>
      <w:spacing w:val="5"/>
      <w:sz w:val="36"/>
      <w:szCs w:val="36"/>
      <w:lang w:bidi="ar-SA"/>
    </w:rPr>
  </w:style>
  <w:style w:type="character" w:customStyle="1" w:styleId="Heading2Char">
    <w:name w:val="Heading 2 Char"/>
    <w:link w:val="Heading2"/>
    <w:uiPriority w:val="9"/>
    <w:rsid w:val="00477926"/>
    <w:rPr>
      <w:rFonts w:ascii="Cambria" w:eastAsia="Times New Roman" w:hAnsi="Cambria" w:cs="Times New Roman"/>
      <w:smallCaps/>
      <w:spacing w:val="5"/>
      <w:sz w:val="32"/>
      <w:szCs w:val="32"/>
      <w:lang w:bidi="ar-SA"/>
    </w:rPr>
  </w:style>
  <w:style w:type="character" w:customStyle="1" w:styleId="Heading3Char">
    <w:name w:val="Heading 3 Char"/>
    <w:link w:val="Heading3"/>
    <w:uiPriority w:val="9"/>
    <w:rsid w:val="00350F4A"/>
    <w:rPr>
      <w:rFonts w:ascii="Cambria" w:eastAsia="Times New Roman" w:hAnsi="Cambria" w:cs="Times New Roman"/>
      <w:smallCaps/>
      <w:spacing w:val="20"/>
      <w:sz w:val="30"/>
      <w:szCs w:val="30"/>
      <w:lang w:bidi="ar-SA"/>
    </w:rPr>
  </w:style>
  <w:style w:type="character" w:customStyle="1" w:styleId="Heading4Char">
    <w:name w:val="Heading 4 Char"/>
    <w:link w:val="Heading4"/>
    <w:uiPriority w:val="9"/>
    <w:rsid w:val="00477926"/>
    <w:rPr>
      <w:rFonts w:ascii="Cambria" w:eastAsia="Times New Roman" w:hAnsi="Cambria" w:cs="Times New Roman"/>
      <w:b/>
      <w:sz w:val="26"/>
      <w:szCs w:val="26"/>
      <w:lang w:bidi="ar-SA"/>
    </w:rPr>
  </w:style>
  <w:style w:type="character" w:customStyle="1" w:styleId="Heading5Char">
    <w:name w:val="Heading 5 Char"/>
    <w:link w:val="Heading5"/>
    <w:uiPriority w:val="9"/>
    <w:rsid w:val="00BF10C1"/>
    <w:rPr>
      <w:rFonts w:ascii="Cambria" w:eastAsia="Times New Roman" w:hAnsi="Cambria" w:cs="Times New Roman"/>
      <w:smallCaps/>
      <w:szCs w:val="22"/>
      <w:lang w:bidi="ar-SA"/>
    </w:rPr>
  </w:style>
  <w:style w:type="character" w:customStyle="1" w:styleId="Heading6Char">
    <w:name w:val="Heading 6 Char"/>
    <w:link w:val="Heading6"/>
    <w:uiPriority w:val="9"/>
    <w:rsid w:val="00350F4A"/>
    <w:rPr>
      <w:rFonts w:ascii="Cambria" w:eastAsia="Times New Roman" w:hAnsi="Cambria" w:cs="Times New Roman"/>
      <w:b/>
      <w:i/>
      <w:color w:val="000000"/>
      <w:spacing w:val="5"/>
      <w:sz w:val="22"/>
      <w:szCs w:val="22"/>
      <w:lang w:bidi="ar-SA"/>
    </w:rPr>
  </w:style>
  <w:style w:type="character" w:customStyle="1" w:styleId="Heading7Char">
    <w:name w:val="Heading 7 Char"/>
    <w:aliases w:val="Table Title Char"/>
    <w:link w:val="Heading7"/>
    <w:uiPriority w:val="9"/>
    <w:rsid w:val="00477926"/>
    <w:rPr>
      <w:rFonts w:ascii="Calibri" w:eastAsia="Times New Roman" w:hAnsi="Calibri" w:cs="Times New Roman"/>
      <w:b/>
      <w:i/>
      <w:smallCaps/>
      <w:color w:val="000000"/>
      <w:spacing w:val="2"/>
      <w:sz w:val="22"/>
      <w:szCs w:val="22"/>
      <w:lang w:bidi="ar-SA"/>
    </w:rPr>
  </w:style>
  <w:style w:type="character" w:customStyle="1" w:styleId="Heading8Char">
    <w:name w:val="Heading 8 Char"/>
    <w:aliases w:val="Heading 8 - Table Heading Row Char"/>
    <w:link w:val="Heading8"/>
    <w:uiPriority w:val="9"/>
    <w:rsid w:val="00477926"/>
    <w:rPr>
      <w:rFonts w:ascii="Cambria" w:eastAsia="Times New Roman" w:hAnsi="Cambria" w:cs="Times New Roman"/>
      <w:smallCaps/>
      <w:sz w:val="20"/>
      <w:szCs w:val="22"/>
      <w:lang w:bidi="ar-SA"/>
    </w:rPr>
  </w:style>
  <w:style w:type="character" w:customStyle="1" w:styleId="Heading9Char">
    <w:name w:val="Heading 9 Char"/>
    <w:link w:val="Heading9"/>
    <w:uiPriority w:val="9"/>
    <w:rsid w:val="00477926"/>
    <w:rPr>
      <w:rFonts w:ascii="Calibri" w:eastAsia="Times New Roman" w:hAnsi="Calibri" w:cs="Times New Roman"/>
      <w:b/>
      <w:i/>
      <w:color w:val="7F7F7F"/>
      <w:sz w:val="22"/>
      <w:szCs w:val="22"/>
      <w:lang w:bidi="ar-SA"/>
    </w:rPr>
  </w:style>
  <w:style w:type="paragraph" w:styleId="BalloonText">
    <w:name w:val="Balloon Text"/>
    <w:basedOn w:val="Normal"/>
    <w:link w:val="BalloonTextChar"/>
    <w:uiPriority w:val="99"/>
    <w:unhideWhenUsed/>
    <w:rsid w:val="00136D2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rsid w:val="00136D27"/>
    <w:rPr>
      <w:rFonts w:ascii="Tahoma" w:eastAsia="Times New Roman" w:hAnsi="Tahoma" w:cs="Tahoma"/>
      <w:sz w:val="16"/>
      <w:szCs w:val="16"/>
      <w:lang w:bidi="ar-SA"/>
    </w:rPr>
  </w:style>
  <w:style w:type="paragraph" w:customStyle="1" w:styleId="ColorfulGrid-Accent11">
    <w:name w:val="Colorful Grid - Accent 11"/>
    <w:basedOn w:val="Normal"/>
    <w:next w:val="Normal"/>
    <w:uiPriority w:val="29"/>
    <w:qFormat/>
    <w:rsid w:val="00136D27"/>
    <w:pPr>
      <w:spacing w:after="160"/>
      <w:ind w:left="2160"/>
    </w:pPr>
    <w:rPr>
      <w:i/>
      <w:iCs/>
      <w:color w:val="0F243E"/>
      <w:szCs w:val="20"/>
      <w:lang w:bidi="en-US"/>
    </w:rPr>
  </w:style>
  <w:style w:type="character" w:styleId="Emphasis">
    <w:name w:val="Emphasis"/>
    <w:uiPriority w:val="20"/>
    <w:qFormat/>
    <w:rsid w:val="00136D27"/>
    <w:rPr>
      <w:i/>
      <w:iCs/>
    </w:rPr>
  </w:style>
  <w:style w:type="paragraph" w:styleId="Footer">
    <w:name w:val="footer"/>
    <w:basedOn w:val="Normal"/>
    <w:link w:val="FooterChar"/>
    <w:uiPriority w:val="99"/>
    <w:unhideWhenUsed/>
    <w:rsid w:val="00136D27"/>
    <w:pPr>
      <w:tabs>
        <w:tab w:val="center" w:pos="4680"/>
        <w:tab w:val="right" w:pos="9360"/>
      </w:tabs>
      <w:spacing w:after="0" w:line="240" w:lineRule="auto"/>
    </w:pPr>
    <w:rPr>
      <w:lang w:val="x-none" w:eastAsia="x-none"/>
    </w:rPr>
  </w:style>
  <w:style w:type="character" w:customStyle="1" w:styleId="FooterChar">
    <w:name w:val="Footer Char"/>
    <w:link w:val="Footer"/>
    <w:uiPriority w:val="99"/>
    <w:rsid w:val="00136D27"/>
    <w:rPr>
      <w:rFonts w:ascii="Calibri" w:eastAsia="Times New Roman" w:hAnsi="Calibri" w:cs="Times New Roman"/>
      <w:sz w:val="22"/>
      <w:szCs w:val="22"/>
      <w:lang w:bidi="ar-SA"/>
    </w:rPr>
  </w:style>
  <w:style w:type="paragraph" w:styleId="Header">
    <w:name w:val="header"/>
    <w:aliases w:val="First Page"/>
    <w:basedOn w:val="Heading1"/>
    <w:link w:val="HeaderChar"/>
    <w:uiPriority w:val="99"/>
    <w:unhideWhenUsed/>
    <w:rsid w:val="00136D27"/>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136D27"/>
    <w:rPr>
      <w:rFonts w:ascii="Cambria" w:eastAsia="Times New Roman" w:hAnsi="Cambria" w:cs="Times New Roman"/>
      <w:smallCaps/>
      <w:spacing w:val="5"/>
      <w:sz w:val="36"/>
      <w:szCs w:val="36"/>
      <w:lang w:bidi="ar-SA"/>
    </w:rPr>
  </w:style>
  <w:style w:type="paragraph" w:customStyle="1" w:styleId="Header-EvenPage">
    <w:name w:val="Header - Even Page"/>
    <w:basedOn w:val="Header"/>
    <w:qFormat/>
    <w:rsid w:val="00136D27"/>
    <w:rPr>
      <w:sz w:val="32"/>
    </w:rPr>
  </w:style>
  <w:style w:type="character" w:styleId="Hyperlink">
    <w:name w:val="Hyperlink"/>
    <w:uiPriority w:val="99"/>
    <w:unhideWhenUsed/>
    <w:rsid w:val="00136D27"/>
    <w:rPr>
      <w:color w:val="0000FF"/>
      <w:u w:val="single"/>
    </w:rPr>
  </w:style>
  <w:style w:type="character" w:customStyle="1" w:styleId="Impact-MMChar">
    <w:name w:val="Impact-MM Char"/>
    <w:rsid w:val="00136D27"/>
    <w:rPr>
      <w:rFonts w:ascii="Century Gothic" w:hAnsi="Century Gothic"/>
      <w:bCs/>
      <w:szCs w:val="24"/>
      <w:lang w:val="en-US" w:eastAsia="en-US" w:bidi="ar-SA"/>
    </w:rPr>
  </w:style>
  <w:style w:type="paragraph" w:styleId="ListBullet">
    <w:name w:val="List Bullet"/>
    <w:basedOn w:val="Normal"/>
    <w:uiPriority w:val="99"/>
    <w:unhideWhenUsed/>
    <w:qFormat/>
    <w:rsid w:val="00136D27"/>
    <w:pPr>
      <w:numPr>
        <w:numId w:val="1"/>
      </w:numPr>
      <w:contextualSpacing/>
    </w:pPr>
  </w:style>
  <w:style w:type="paragraph" w:styleId="ListBullet2">
    <w:name w:val="List Bullet 2"/>
    <w:basedOn w:val="Normal"/>
    <w:uiPriority w:val="99"/>
    <w:unhideWhenUsed/>
    <w:qFormat/>
    <w:rsid w:val="00136D27"/>
    <w:pPr>
      <w:numPr>
        <w:numId w:val="2"/>
      </w:numPr>
      <w:contextualSpacing/>
    </w:pPr>
  </w:style>
  <w:style w:type="paragraph" w:styleId="ListBullet3">
    <w:name w:val="List Bullet 3"/>
    <w:basedOn w:val="Normal"/>
    <w:uiPriority w:val="99"/>
    <w:unhideWhenUsed/>
    <w:qFormat/>
    <w:rsid w:val="00136D27"/>
    <w:pPr>
      <w:tabs>
        <w:tab w:val="num" w:pos="1080"/>
      </w:tabs>
      <w:ind w:left="1080" w:hanging="360"/>
      <w:contextualSpacing/>
    </w:pPr>
  </w:style>
  <w:style w:type="paragraph" w:styleId="ListNumber">
    <w:name w:val="List Number"/>
    <w:basedOn w:val="Normal"/>
    <w:uiPriority w:val="99"/>
    <w:unhideWhenUsed/>
    <w:rsid w:val="00136D27"/>
    <w:pPr>
      <w:tabs>
        <w:tab w:val="num" w:pos="360"/>
      </w:tabs>
      <w:ind w:left="360" w:hanging="360"/>
      <w:contextualSpacing/>
    </w:pPr>
  </w:style>
  <w:style w:type="paragraph" w:styleId="ListNumber2">
    <w:name w:val="List Number 2"/>
    <w:basedOn w:val="Normal"/>
    <w:uiPriority w:val="99"/>
    <w:unhideWhenUsed/>
    <w:rsid w:val="00136D27"/>
    <w:pPr>
      <w:tabs>
        <w:tab w:val="num" w:pos="720"/>
      </w:tabs>
      <w:ind w:left="720" w:hanging="360"/>
      <w:contextualSpacing/>
    </w:pPr>
  </w:style>
  <w:style w:type="paragraph" w:styleId="ListNumber3">
    <w:name w:val="List Number 3"/>
    <w:basedOn w:val="Normal"/>
    <w:uiPriority w:val="99"/>
    <w:unhideWhenUsed/>
    <w:rsid w:val="00136D27"/>
    <w:pPr>
      <w:tabs>
        <w:tab w:val="num" w:pos="1080"/>
      </w:tabs>
      <w:ind w:left="1080" w:hanging="360"/>
      <w:contextualSpacing/>
    </w:pPr>
  </w:style>
  <w:style w:type="paragraph" w:customStyle="1" w:styleId="MediumGrid1-Accent21">
    <w:name w:val="Medium Grid 1 - Accent 21"/>
    <w:basedOn w:val="Normal"/>
    <w:uiPriority w:val="34"/>
    <w:qFormat/>
    <w:rsid w:val="00136D27"/>
    <w:pPr>
      <w:ind w:left="1080" w:hanging="360"/>
      <w:contextualSpacing/>
    </w:pPr>
  </w:style>
  <w:style w:type="paragraph" w:customStyle="1" w:styleId="MediumShading1-Accent11">
    <w:name w:val="Medium Shading 1 - Accent 11"/>
    <w:uiPriority w:val="1"/>
    <w:qFormat/>
    <w:rsid w:val="00136D27"/>
    <w:pPr>
      <w:jc w:val="both"/>
    </w:pPr>
    <w:rPr>
      <w:sz w:val="22"/>
      <w:szCs w:val="22"/>
    </w:rPr>
  </w:style>
  <w:style w:type="paragraph" w:styleId="NormalWeb">
    <w:name w:val="Normal (Web)"/>
    <w:basedOn w:val="Normal"/>
    <w:uiPriority w:val="99"/>
    <w:unhideWhenUsed/>
    <w:rsid w:val="00136D27"/>
    <w:pPr>
      <w:spacing w:before="168" w:after="216" w:line="240" w:lineRule="auto"/>
      <w:jc w:val="left"/>
    </w:pPr>
    <w:rPr>
      <w:rFonts w:ascii="Times New Roman" w:hAnsi="Times New Roman"/>
      <w:sz w:val="24"/>
      <w:szCs w:val="24"/>
    </w:rPr>
  </w:style>
  <w:style w:type="paragraph" w:customStyle="1" w:styleId="MediumGrid2-Accent21">
    <w:name w:val="Medium Grid 2 - Accent 21"/>
    <w:basedOn w:val="Normal"/>
    <w:next w:val="Normal"/>
    <w:link w:val="MediumGrid2-Accent2Char"/>
    <w:uiPriority w:val="29"/>
    <w:rsid w:val="00136D27"/>
    <w:rPr>
      <w:i/>
      <w:lang w:val="x-none" w:eastAsia="x-none"/>
    </w:rPr>
  </w:style>
  <w:style w:type="character" w:customStyle="1" w:styleId="MediumGrid2-Accent2Char">
    <w:name w:val="Medium Grid 2 - Accent 2 Char"/>
    <w:link w:val="MediumGrid2-Accent21"/>
    <w:uiPriority w:val="29"/>
    <w:rsid w:val="00136D27"/>
    <w:rPr>
      <w:rFonts w:ascii="Calibri" w:eastAsia="Times New Roman" w:hAnsi="Calibri" w:cs="Times New Roman"/>
      <w:i/>
      <w:sz w:val="22"/>
      <w:szCs w:val="22"/>
      <w:lang w:bidi="ar-SA"/>
    </w:rPr>
  </w:style>
  <w:style w:type="paragraph" w:customStyle="1" w:styleId="Source">
    <w:name w:val="Source"/>
    <w:next w:val="Normal"/>
    <w:qFormat/>
    <w:rsid w:val="00136D27"/>
    <w:pPr>
      <w:spacing w:after="160" w:line="288" w:lineRule="auto"/>
      <w:ind w:left="90"/>
      <w:jc w:val="both"/>
    </w:pPr>
    <w:rPr>
      <w:i/>
      <w:iCs/>
      <w:smallCaps/>
      <w:lang w:bidi="en-US"/>
    </w:rPr>
  </w:style>
  <w:style w:type="character" w:customStyle="1" w:styleId="SubtleEmphasis1">
    <w:name w:val="Subtle Emphasis1"/>
    <w:uiPriority w:val="19"/>
    <w:qFormat/>
    <w:rsid w:val="00136D27"/>
    <w:rPr>
      <w:i/>
      <w:iCs/>
      <w:color w:val="808080"/>
    </w:rPr>
  </w:style>
  <w:style w:type="character" w:customStyle="1" w:styleId="SubtleEmphasis10">
    <w:name w:val="Subtle Emphasis1"/>
    <w:uiPriority w:val="19"/>
    <w:qFormat/>
    <w:rsid w:val="00136D27"/>
    <w:rPr>
      <w:smallCaps/>
      <w:dstrike w:val="0"/>
      <w:color w:val="5A5A5A"/>
      <w:vertAlign w:val="baseline"/>
    </w:rPr>
  </w:style>
  <w:style w:type="table" w:styleId="TableGrid">
    <w:name w:val="Table Grid"/>
    <w:basedOn w:val="TableNormal"/>
    <w:uiPriority w:val="1"/>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1"/>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367262"/>
    <w:pPr>
      <w:jc w:val="center"/>
    </w:pPr>
    <w:rPr>
      <w:i/>
    </w:rPr>
  </w:style>
  <w:style w:type="paragraph" w:customStyle="1" w:styleId="TableText">
    <w:name w:val="Table Text"/>
    <w:basedOn w:val="Normal"/>
    <w:link w:val="TableTextChar"/>
    <w:rsid w:val="00136D27"/>
    <w:pPr>
      <w:spacing w:before="120" w:after="120" w:line="240" w:lineRule="auto"/>
    </w:pPr>
    <w:rPr>
      <w:rFonts w:ascii="Cambria" w:hAnsi="Cambria"/>
      <w:sz w:val="18"/>
      <w:szCs w:val="18"/>
      <w:lang w:val="x-none" w:eastAsia="x-none"/>
    </w:rPr>
  </w:style>
  <w:style w:type="paragraph" w:customStyle="1" w:styleId="TextBox">
    <w:name w:val="Text Box"/>
    <w:basedOn w:val="Normal"/>
    <w:rsid w:val="00136D27"/>
    <w:pPr>
      <w:spacing w:after="0" w:line="240" w:lineRule="auto"/>
      <w:jc w:val="left"/>
    </w:pPr>
    <w:rPr>
      <w:rFonts w:ascii="Arial" w:hAnsi="Arial"/>
      <w:b/>
      <w:caps/>
      <w:spacing w:val="-3"/>
      <w:sz w:val="28"/>
    </w:rPr>
  </w:style>
  <w:style w:type="paragraph" w:customStyle="1" w:styleId="TOCHeading1">
    <w:name w:val="TOC Heading1"/>
    <w:basedOn w:val="Heading1"/>
    <w:next w:val="Normal"/>
    <w:uiPriority w:val="39"/>
    <w:unhideWhenUsed/>
    <w:qFormat/>
    <w:rsid w:val="00136D27"/>
    <w:pPr>
      <w:outlineLvl w:val="9"/>
    </w:pPr>
  </w:style>
  <w:style w:type="paragraph" w:customStyle="1" w:styleId="TOCHeading10">
    <w:name w:val="TOC Heading1"/>
    <w:basedOn w:val="Heading1"/>
    <w:next w:val="Normal"/>
    <w:uiPriority w:val="39"/>
    <w:unhideWhenUsed/>
    <w:qFormat/>
    <w:rsid w:val="00136D27"/>
  </w:style>
  <w:style w:type="paragraph" w:customStyle="1" w:styleId="MediumList2-Accent21">
    <w:name w:val="Medium List 2 - Accent 21"/>
    <w:hidden/>
    <w:rsid w:val="00BF1663"/>
    <w:rPr>
      <w:sz w:val="22"/>
      <w:szCs w:val="22"/>
    </w:rPr>
  </w:style>
  <w:style w:type="character" w:styleId="CommentReference">
    <w:name w:val="annotation reference"/>
    <w:uiPriority w:val="99"/>
    <w:rsid w:val="0009753A"/>
    <w:rPr>
      <w:sz w:val="16"/>
      <w:szCs w:val="16"/>
    </w:rPr>
  </w:style>
  <w:style w:type="paragraph" w:styleId="CommentText">
    <w:name w:val="annotation text"/>
    <w:basedOn w:val="Normal"/>
    <w:link w:val="CommentTextChar"/>
    <w:rsid w:val="0009753A"/>
    <w:rPr>
      <w:sz w:val="20"/>
      <w:szCs w:val="20"/>
    </w:rPr>
  </w:style>
  <w:style w:type="character" w:customStyle="1" w:styleId="CommentTextChar">
    <w:name w:val="Comment Text Char"/>
    <w:basedOn w:val="DefaultParagraphFont"/>
    <w:link w:val="CommentText"/>
    <w:rsid w:val="0009753A"/>
  </w:style>
  <w:style w:type="paragraph" w:styleId="CommentSubject">
    <w:name w:val="annotation subject"/>
    <w:basedOn w:val="CommentText"/>
    <w:next w:val="CommentText"/>
    <w:link w:val="CommentSubjectChar"/>
    <w:rsid w:val="0009753A"/>
    <w:rPr>
      <w:b/>
      <w:bCs/>
      <w:lang w:val="x-none" w:eastAsia="x-none"/>
    </w:rPr>
  </w:style>
  <w:style w:type="character" w:customStyle="1" w:styleId="CommentSubjectChar">
    <w:name w:val="Comment Subject Char"/>
    <w:link w:val="CommentSubject"/>
    <w:rsid w:val="0009753A"/>
    <w:rPr>
      <w:b/>
      <w:bCs/>
    </w:rPr>
  </w:style>
  <w:style w:type="character" w:customStyle="1" w:styleId="TableTextChar">
    <w:name w:val="Table Text Char"/>
    <w:link w:val="TableText"/>
    <w:rsid w:val="003F6926"/>
    <w:rPr>
      <w:rFonts w:ascii="Cambria" w:hAnsi="Cambria"/>
      <w:sz w:val="18"/>
      <w:szCs w:val="18"/>
    </w:rPr>
  </w:style>
  <w:style w:type="paragraph" w:customStyle="1" w:styleId="Default">
    <w:name w:val="Default"/>
    <w:rsid w:val="00A57627"/>
    <w:pPr>
      <w:autoSpaceDE w:val="0"/>
      <w:autoSpaceDN w:val="0"/>
      <w:adjustRightInd w:val="0"/>
    </w:pPr>
    <w:rPr>
      <w:rFonts w:ascii="Arial" w:eastAsia="Calibri" w:hAnsi="Arial" w:cs="Arial"/>
      <w:color w:val="000000"/>
      <w:sz w:val="24"/>
      <w:szCs w:val="24"/>
    </w:rPr>
  </w:style>
  <w:style w:type="paragraph" w:customStyle="1" w:styleId="Policy">
    <w:name w:val="Policy"/>
    <w:basedOn w:val="Normal"/>
    <w:qFormat/>
    <w:rsid w:val="001976CF"/>
    <w:pPr>
      <w:tabs>
        <w:tab w:val="left" w:pos="720"/>
      </w:tabs>
      <w:spacing w:after="240" w:line="240" w:lineRule="auto"/>
      <w:ind w:left="720"/>
    </w:pPr>
    <w:rPr>
      <w:bCs/>
      <w:szCs w:val="24"/>
    </w:rPr>
  </w:style>
  <w:style w:type="paragraph" w:customStyle="1" w:styleId="Action">
    <w:name w:val="Action"/>
    <w:qFormat/>
    <w:rsid w:val="001976CF"/>
    <w:pPr>
      <w:spacing w:after="200"/>
      <w:ind w:left="1166"/>
    </w:pPr>
    <w:rPr>
      <w:bCs/>
      <w:i/>
      <w:sz w:val="22"/>
      <w:szCs w:val="24"/>
    </w:rPr>
  </w:style>
  <w:style w:type="paragraph" w:customStyle="1" w:styleId="TableCenter">
    <w:name w:val="Table Center"/>
    <w:basedOn w:val="Normal"/>
    <w:rsid w:val="00337913"/>
    <w:pPr>
      <w:autoSpaceDE w:val="0"/>
      <w:autoSpaceDN w:val="0"/>
      <w:adjustRightInd w:val="0"/>
      <w:spacing w:after="0" w:line="240" w:lineRule="auto"/>
      <w:jc w:val="left"/>
    </w:pPr>
    <w:rPr>
      <w:rFonts w:ascii="Arial" w:hAnsi="Arial" w:cs="Arial"/>
      <w:sz w:val="17"/>
      <w:szCs w:val="17"/>
    </w:rPr>
  </w:style>
  <w:style w:type="paragraph" w:customStyle="1" w:styleId="ColusaGoal">
    <w:name w:val="ColusaGoal"/>
    <w:basedOn w:val="Normal"/>
    <w:qFormat/>
    <w:rsid w:val="001E7CDC"/>
    <w:pPr>
      <w:spacing w:before="120" w:after="120" w:line="276" w:lineRule="auto"/>
      <w:ind w:left="1530" w:hanging="1530"/>
      <w:jc w:val="left"/>
    </w:pPr>
    <w:rPr>
      <w:rFonts w:ascii="Palatino Linotype" w:eastAsia="Cambria" w:hAnsi="Palatino Linotype" w:cs="Courier"/>
      <w:b/>
      <w:color w:val="632423"/>
    </w:rPr>
  </w:style>
  <w:style w:type="paragraph" w:customStyle="1" w:styleId="Objective">
    <w:name w:val="Objective"/>
    <w:basedOn w:val="Normal"/>
    <w:qFormat/>
    <w:rsid w:val="001E7CDC"/>
    <w:pPr>
      <w:tabs>
        <w:tab w:val="left" w:pos="3870"/>
      </w:tabs>
      <w:spacing w:before="40" w:line="240" w:lineRule="auto"/>
      <w:ind w:left="1627" w:hanging="1627"/>
      <w:jc w:val="left"/>
    </w:pPr>
    <w:rPr>
      <w:rFonts w:eastAsia="Cambria"/>
      <w:b/>
      <w:i/>
      <w:color w:val="6324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6367">
      <w:bodyDiv w:val="1"/>
      <w:marLeft w:val="0"/>
      <w:marRight w:val="5"/>
      <w:marTop w:val="0"/>
      <w:marBottom w:val="600"/>
      <w:divBdr>
        <w:top w:val="none" w:sz="0" w:space="0" w:color="auto"/>
        <w:left w:val="none" w:sz="0" w:space="0" w:color="auto"/>
        <w:bottom w:val="none" w:sz="0" w:space="0" w:color="auto"/>
        <w:right w:val="none" w:sz="0" w:space="0" w:color="auto"/>
      </w:divBdr>
      <w:divsChild>
        <w:div w:id="409740534">
          <w:marLeft w:val="2"/>
          <w:marRight w:val="0"/>
          <w:marTop w:val="450"/>
          <w:marBottom w:val="300"/>
          <w:divBdr>
            <w:top w:val="none" w:sz="0" w:space="0" w:color="auto"/>
            <w:left w:val="none" w:sz="0" w:space="0" w:color="auto"/>
            <w:bottom w:val="none" w:sz="0" w:space="0" w:color="auto"/>
            <w:right w:val="none" w:sz="0" w:space="0" w:color="auto"/>
          </w:divBdr>
        </w:div>
      </w:divsChild>
    </w:div>
    <w:div w:id="863328618">
      <w:bodyDiv w:val="1"/>
      <w:marLeft w:val="0"/>
      <w:marRight w:val="5"/>
      <w:marTop w:val="0"/>
      <w:marBottom w:val="600"/>
      <w:divBdr>
        <w:top w:val="none" w:sz="0" w:space="0" w:color="auto"/>
        <w:left w:val="none" w:sz="0" w:space="0" w:color="auto"/>
        <w:bottom w:val="none" w:sz="0" w:space="0" w:color="auto"/>
        <w:right w:val="none" w:sz="0" w:space="0" w:color="auto"/>
      </w:divBdr>
      <w:divsChild>
        <w:div w:id="1427965023">
          <w:marLeft w:val="2"/>
          <w:marRight w:val="0"/>
          <w:marTop w:val="450"/>
          <w:marBottom w:val="300"/>
          <w:divBdr>
            <w:top w:val="none" w:sz="0" w:space="0" w:color="auto"/>
            <w:left w:val="none" w:sz="0" w:space="0" w:color="auto"/>
            <w:bottom w:val="none" w:sz="0" w:space="0" w:color="auto"/>
            <w:right w:val="none" w:sz="0" w:space="0" w:color="auto"/>
          </w:divBdr>
        </w:div>
      </w:divsChild>
    </w:div>
    <w:div w:id="1273592567">
      <w:bodyDiv w:val="1"/>
      <w:marLeft w:val="0"/>
      <w:marRight w:val="5"/>
      <w:marTop w:val="0"/>
      <w:marBottom w:val="600"/>
      <w:divBdr>
        <w:top w:val="none" w:sz="0" w:space="0" w:color="auto"/>
        <w:left w:val="none" w:sz="0" w:space="0" w:color="auto"/>
        <w:bottom w:val="none" w:sz="0" w:space="0" w:color="auto"/>
        <w:right w:val="none" w:sz="0" w:space="0" w:color="auto"/>
      </w:divBdr>
      <w:divsChild>
        <w:div w:id="10643865">
          <w:marLeft w:val="2265"/>
          <w:marRight w:val="0"/>
          <w:marTop w:val="450"/>
          <w:marBottom w:val="300"/>
          <w:divBdr>
            <w:top w:val="none" w:sz="0" w:space="0" w:color="auto"/>
            <w:left w:val="none" w:sz="0" w:space="0" w:color="auto"/>
            <w:bottom w:val="none" w:sz="0" w:space="0" w:color="auto"/>
            <w:right w:val="none" w:sz="0" w:space="0" w:color="auto"/>
          </w:divBdr>
        </w:div>
      </w:divsChild>
    </w:div>
    <w:div w:id="1540437616">
      <w:bodyDiv w:val="1"/>
      <w:marLeft w:val="0"/>
      <w:marRight w:val="5"/>
      <w:marTop w:val="0"/>
      <w:marBottom w:val="600"/>
      <w:divBdr>
        <w:top w:val="none" w:sz="0" w:space="0" w:color="auto"/>
        <w:left w:val="none" w:sz="0" w:space="0" w:color="auto"/>
        <w:bottom w:val="none" w:sz="0" w:space="0" w:color="auto"/>
        <w:right w:val="none" w:sz="0" w:space="0" w:color="auto"/>
      </w:divBdr>
      <w:divsChild>
        <w:div w:id="1814717493">
          <w:marLeft w:val="2"/>
          <w:marRight w:val="0"/>
          <w:marTop w:val="450"/>
          <w:marBottom w:val="300"/>
          <w:divBdr>
            <w:top w:val="none" w:sz="0" w:space="0" w:color="auto"/>
            <w:left w:val="none" w:sz="0" w:space="0" w:color="auto"/>
            <w:bottom w:val="none" w:sz="0" w:space="0" w:color="auto"/>
            <w:right w:val="none" w:sz="0" w:space="0" w:color="auto"/>
          </w:divBdr>
        </w:div>
      </w:divsChild>
    </w:div>
    <w:div w:id="1671904366">
      <w:bodyDiv w:val="1"/>
      <w:marLeft w:val="0"/>
      <w:marRight w:val="5"/>
      <w:marTop w:val="0"/>
      <w:marBottom w:val="600"/>
      <w:divBdr>
        <w:top w:val="none" w:sz="0" w:space="0" w:color="auto"/>
        <w:left w:val="none" w:sz="0" w:space="0" w:color="auto"/>
        <w:bottom w:val="none" w:sz="0" w:space="0" w:color="auto"/>
        <w:right w:val="none" w:sz="0" w:space="0" w:color="auto"/>
      </w:divBdr>
      <w:divsChild>
        <w:div w:id="526993199">
          <w:marLeft w:val="2"/>
          <w:marRight w:val="0"/>
          <w:marTop w:val="450"/>
          <w:marBottom w:val="300"/>
          <w:divBdr>
            <w:top w:val="none" w:sz="0" w:space="0" w:color="auto"/>
            <w:left w:val="none" w:sz="0" w:space="0" w:color="auto"/>
            <w:bottom w:val="none" w:sz="0" w:space="0" w:color="auto"/>
            <w:right w:val="none" w:sz="0" w:space="0" w:color="auto"/>
          </w:divBdr>
        </w:div>
      </w:divsChild>
    </w:div>
    <w:div w:id="1717781004">
      <w:bodyDiv w:val="1"/>
      <w:marLeft w:val="0"/>
      <w:marRight w:val="5"/>
      <w:marTop w:val="0"/>
      <w:marBottom w:val="600"/>
      <w:divBdr>
        <w:top w:val="none" w:sz="0" w:space="0" w:color="auto"/>
        <w:left w:val="none" w:sz="0" w:space="0" w:color="auto"/>
        <w:bottom w:val="none" w:sz="0" w:space="0" w:color="auto"/>
        <w:right w:val="none" w:sz="0" w:space="0" w:color="auto"/>
      </w:divBdr>
      <w:divsChild>
        <w:div w:id="1124734913">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6764C935</Template>
  <TotalTime>1</TotalTime>
  <Pages>35</Pages>
  <Words>14860</Words>
  <Characters>84703</Characters>
  <Application>Microsoft Office Word</Application>
  <DocSecurity>4</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Pacific Portraits by Amber</Company>
  <LinksUpToDate>false</LinksUpToDate>
  <CharactersWithSpaces>99365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and Amber McMurtry</dc:creator>
  <cp:lastModifiedBy>Vicki Parker</cp:lastModifiedBy>
  <cp:revision>2</cp:revision>
  <cp:lastPrinted>2014-07-23T01:10:00Z</cp:lastPrinted>
  <dcterms:created xsi:type="dcterms:W3CDTF">2015-08-07T22:16:00Z</dcterms:created>
  <dcterms:modified xsi:type="dcterms:W3CDTF">2015-08-07T22:16:00Z</dcterms:modified>
</cp:coreProperties>
</file>