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C5" w:rsidRPr="003B3A16" w:rsidRDefault="00991FC5" w:rsidP="00991FC5">
      <w:bookmarkStart w:id="2" w:name="_GoBack"/>
      <w:bookmarkEnd w:id="2"/>
      <w:r w:rsidRPr="003B3A16">
        <w:t xml:space="preserve">Utilities are critical to providing safe drinking water, disposal and treatment of wastewater, and solid waste disposal. This section provides a background discussion of the utility systems in Cotati including water supplies, wastewater, and solid waste. This section is organized with an existing setting, regulatory setting, and impact analysis. No comments were received regarding utilities during the Notice of Preparation scoping process. </w:t>
      </w:r>
    </w:p>
    <w:p w:rsidR="00991FC5" w:rsidRPr="003B3A16" w:rsidRDefault="00991FC5" w:rsidP="00991FC5">
      <w:pPr>
        <w:pStyle w:val="Heading2"/>
      </w:pPr>
      <w:r w:rsidRPr="003B3A16">
        <w:t xml:space="preserve">3.13.1 Water Supplies </w:t>
      </w:r>
    </w:p>
    <w:p w:rsidR="00991FC5" w:rsidRPr="003B3A16" w:rsidRDefault="00991FC5" w:rsidP="00991FC5">
      <w:r w:rsidRPr="003B3A16">
        <w:t>The City of Cotati owns and operates a water supply and distribution system that supplies potable water to residences and businesses within the City limits.  The City’s potable water supply comes primarily from water purchased from the Sonoma County Water Agency (SCWA) and water pumped from groundwater wells owned and operated by the City.</w:t>
      </w:r>
    </w:p>
    <w:p w:rsidR="00991FC5" w:rsidRPr="00B15699" w:rsidRDefault="00991FC5" w:rsidP="00991FC5">
      <w:pPr>
        <w:pStyle w:val="Heading3"/>
      </w:pPr>
      <w:r w:rsidRPr="00B15699">
        <w:t>Key Terms</w:t>
      </w:r>
    </w:p>
    <w:p w:rsidR="00991FC5" w:rsidRPr="00B15699" w:rsidRDefault="00991FC5" w:rsidP="00991FC5">
      <w:r w:rsidRPr="00B15699">
        <w:rPr>
          <w:b/>
        </w:rPr>
        <w:t>Acre feet:</w:t>
      </w:r>
      <w:r w:rsidRPr="00B15699">
        <w:t xml:space="preserve"> The volume of one acre of water to a depth of one foot. Each acre-foot of water is equal to approximately 325,851.4 gallons.</w:t>
      </w:r>
    </w:p>
    <w:p w:rsidR="00991FC5" w:rsidRPr="00B15699" w:rsidRDefault="00991FC5" w:rsidP="00991FC5">
      <w:r w:rsidRPr="00B15699">
        <w:rPr>
          <w:b/>
        </w:rPr>
        <w:t>BGS:</w:t>
      </w:r>
      <w:r w:rsidRPr="00B15699">
        <w:t xml:space="preserve"> Below ground surface.</w:t>
      </w:r>
    </w:p>
    <w:p w:rsidR="00991FC5" w:rsidRPr="00B15699" w:rsidRDefault="00991FC5" w:rsidP="00991FC5">
      <w:r w:rsidRPr="00B15699">
        <w:rPr>
          <w:b/>
        </w:rPr>
        <w:t>GPD:</w:t>
      </w:r>
      <w:r w:rsidRPr="00B15699">
        <w:t xml:space="preserve"> Gallons per day.</w:t>
      </w:r>
    </w:p>
    <w:p w:rsidR="00991FC5" w:rsidRPr="00B15699" w:rsidRDefault="00991FC5" w:rsidP="00991FC5">
      <w:r w:rsidRPr="00B15699">
        <w:rPr>
          <w:b/>
        </w:rPr>
        <w:t>GPM:</w:t>
      </w:r>
      <w:r w:rsidRPr="00B15699">
        <w:t xml:space="preserve"> Gallons per minute.</w:t>
      </w:r>
    </w:p>
    <w:p w:rsidR="00991FC5" w:rsidRPr="00B15699" w:rsidRDefault="00991FC5" w:rsidP="00991FC5">
      <w:r w:rsidRPr="00B15699">
        <w:rPr>
          <w:b/>
        </w:rPr>
        <w:t>Groundwater:</w:t>
      </w:r>
      <w:r w:rsidRPr="00B15699">
        <w:t xml:space="preserve"> Water that is underground and below the water table, as opposed to surface water, which flows across the ground surface. Water beneath the earth’s surface fills the spaces in soil, gravel, or rock formations. Pockets of groundwater are often called “aquifers” and are the source of drinking water for a large percentage of the population in the United States. Groundwater is often extracted using wells which pump the water out of the ground and up to the surface. Groundwater is naturally replenished by surface water from precipitation, streams, and rivers when this recharge reaches the water table. </w:t>
      </w:r>
    </w:p>
    <w:p w:rsidR="00991FC5" w:rsidRPr="00B15699" w:rsidRDefault="00991FC5" w:rsidP="00991FC5">
      <w:r w:rsidRPr="00B15699">
        <w:rPr>
          <w:b/>
        </w:rPr>
        <w:t>MG:</w:t>
      </w:r>
      <w:r w:rsidRPr="00B15699">
        <w:t xml:space="preserve"> Million gallons</w:t>
      </w:r>
    </w:p>
    <w:p w:rsidR="00991FC5" w:rsidRPr="00B15699" w:rsidRDefault="00991FC5" w:rsidP="00991FC5">
      <w:r w:rsidRPr="00B15699">
        <w:rPr>
          <w:b/>
        </w:rPr>
        <w:t>MGD:</w:t>
      </w:r>
      <w:r w:rsidRPr="00B15699">
        <w:t xml:space="preserve"> Million gallons per day</w:t>
      </w:r>
    </w:p>
    <w:p w:rsidR="00991FC5" w:rsidRDefault="00991FC5" w:rsidP="00991FC5">
      <w:pPr>
        <w:rPr>
          <w:bCs/>
        </w:rPr>
      </w:pPr>
      <w:r w:rsidRPr="00B15699">
        <w:rPr>
          <w:b/>
        </w:rPr>
        <w:t>Surface water:</w:t>
      </w:r>
      <w:r w:rsidRPr="00B15699">
        <w:t xml:space="preserve"> </w:t>
      </w:r>
      <w:r w:rsidRPr="00B15699">
        <w:rPr>
          <w:bCs/>
        </w:rPr>
        <w:t xml:space="preserve">Water collected on the ground or from a stream, river, lake, wetland, or ocean. Surface water is replenished naturally through precipitation, but is lost naturally through evaporation and seepage into soil. </w:t>
      </w:r>
    </w:p>
    <w:p w:rsidR="00991FC5" w:rsidRPr="00435236" w:rsidRDefault="00991FC5" w:rsidP="00991FC5">
      <w:pPr>
        <w:pStyle w:val="Heading3"/>
      </w:pPr>
      <w:r w:rsidRPr="00435236">
        <w:t>Water Supplies</w:t>
      </w:r>
    </w:p>
    <w:p w:rsidR="00991FC5" w:rsidRPr="00463DC8" w:rsidRDefault="00991FC5" w:rsidP="00991FC5">
      <w:pPr>
        <w:widowControl w:val="0"/>
        <w:autoSpaceDE w:val="0"/>
        <w:autoSpaceDN w:val="0"/>
        <w:adjustRightInd w:val="0"/>
        <w:spacing w:after="0"/>
        <w:rPr>
          <w:rFonts w:eastAsia="Calibri" w:cs="TimesNewRomanPSMT"/>
          <w:szCs w:val="24"/>
        </w:rPr>
      </w:pPr>
      <w:r w:rsidRPr="00463DC8">
        <w:rPr>
          <w:rFonts w:eastAsia="Calibri" w:cs="TimesNewRomanPSMT"/>
          <w:szCs w:val="24"/>
        </w:rPr>
        <w:t xml:space="preserve">The City’s main water supply is water that it receives from the SCWA. The SCWA water supply is comprised of </w:t>
      </w:r>
      <w:r>
        <w:rPr>
          <w:rFonts w:eastAsia="Calibri" w:cs="TimesNewRomanPSMT"/>
          <w:szCs w:val="24"/>
        </w:rPr>
        <w:t xml:space="preserve">ground </w:t>
      </w:r>
      <w:r w:rsidRPr="00463DC8">
        <w:rPr>
          <w:rFonts w:eastAsia="Calibri" w:cs="TimesNewRomanPSMT"/>
          <w:szCs w:val="24"/>
        </w:rPr>
        <w:t>water from the Russian River</w:t>
      </w:r>
      <w:r>
        <w:rPr>
          <w:rFonts w:eastAsia="Calibri" w:cs="TimesNewRomanPSMT"/>
          <w:szCs w:val="24"/>
        </w:rPr>
        <w:t xml:space="preserve"> permitted under a surface water diversion right for infiltration</w:t>
      </w:r>
      <w:r w:rsidRPr="00463DC8">
        <w:rPr>
          <w:rFonts w:eastAsia="Calibri" w:cs="TimesNewRomanPSMT"/>
          <w:szCs w:val="24"/>
        </w:rPr>
        <w:t xml:space="preserve"> and groundwater from SCWA wells. In addition to the primary SCWA water supply, the City uses local groundwater supply from three municipal well sites located within city limits. Prior to 1992, the City used groundwater to supply more than half of its demands. More recently, </w:t>
      </w:r>
      <w:r w:rsidRPr="00463DC8">
        <w:rPr>
          <w:rFonts w:eastAsia="Calibri" w:cs="TimesNewRomanPSMT"/>
          <w:szCs w:val="24"/>
        </w:rPr>
        <w:lastRenderedPageBreak/>
        <w:t xml:space="preserve">the City’s water strategy has been to </w:t>
      </w:r>
      <w:r>
        <w:rPr>
          <w:rFonts w:eastAsia="Calibri" w:cs="TimesNewRomanPSMT"/>
          <w:szCs w:val="24"/>
        </w:rPr>
        <w:t xml:space="preserve">primarily </w:t>
      </w:r>
      <w:r w:rsidRPr="00463DC8">
        <w:rPr>
          <w:rFonts w:eastAsia="Calibri" w:cs="TimesNewRomanPSMT"/>
          <w:szCs w:val="24"/>
        </w:rPr>
        <w:t xml:space="preserve">supply its demands by use of its SCWA water supply and to use its local groundwater supplies to supplement its needs during peak periods and also during periods of drought. The City’s local groundwater supply is a key element of its drought contingency plan and is planned to remain as such throughout the 25-30 year planning horizon of the </w:t>
      </w:r>
      <w:r>
        <w:rPr>
          <w:rFonts w:eastAsia="Calibri" w:cs="TimesNewRomanPSMT"/>
          <w:szCs w:val="24"/>
        </w:rPr>
        <w:t>2010</w:t>
      </w:r>
      <w:r w:rsidRPr="00463DC8">
        <w:rPr>
          <w:rFonts w:eastAsia="Calibri" w:cs="TimesNewRomanPSMT"/>
          <w:szCs w:val="24"/>
        </w:rPr>
        <w:t xml:space="preserve"> UWMP. (Cotati UWMP, 20</w:t>
      </w:r>
      <w:r>
        <w:rPr>
          <w:rFonts w:eastAsia="Calibri" w:cs="TimesNewRomanPSMT"/>
          <w:szCs w:val="24"/>
        </w:rPr>
        <w:t>11</w:t>
      </w:r>
      <w:r w:rsidRPr="00463DC8">
        <w:rPr>
          <w:rFonts w:eastAsia="Calibri" w:cs="TimesNewRomanPSMT"/>
          <w:szCs w:val="24"/>
        </w:rPr>
        <w:t>)</w:t>
      </w:r>
      <w:r>
        <w:rPr>
          <w:rFonts w:eastAsia="Calibri" w:cs="TimesNewRomanPSMT"/>
          <w:szCs w:val="24"/>
        </w:rPr>
        <w:t xml:space="preserve">  The City actively seeks to balance the use of its SCWA water supplies and its local groundwater supplies in a way that ensures a sustainable yield of local groundwater.  </w:t>
      </w:r>
    </w:p>
    <w:p w:rsidR="00991FC5" w:rsidRPr="00463DC8" w:rsidRDefault="00991FC5" w:rsidP="00991FC5">
      <w:pPr>
        <w:widowControl w:val="0"/>
        <w:autoSpaceDE w:val="0"/>
        <w:autoSpaceDN w:val="0"/>
        <w:adjustRightInd w:val="0"/>
        <w:spacing w:after="0"/>
        <w:rPr>
          <w:rFonts w:eastAsia="Calibri" w:cs="TimesNewRomanPSMT"/>
          <w:szCs w:val="24"/>
        </w:rPr>
      </w:pPr>
    </w:p>
    <w:p w:rsidR="00991FC5" w:rsidRDefault="00991FC5" w:rsidP="00991FC5">
      <w:pPr>
        <w:widowControl w:val="0"/>
        <w:autoSpaceDE w:val="0"/>
        <w:autoSpaceDN w:val="0"/>
        <w:adjustRightInd w:val="0"/>
        <w:spacing w:after="0"/>
        <w:rPr>
          <w:rFonts w:eastAsia="Calibri" w:cs="TimesNewRomanPSMT"/>
          <w:szCs w:val="24"/>
        </w:rPr>
      </w:pPr>
      <w:r w:rsidRPr="00463DC8">
        <w:rPr>
          <w:rFonts w:eastAsia="Calibri" w:cs="TimesNewRomanPSMT"/>
          <w:szCs w:val="24"/>
        </w:rPr>
        <w:t xml:space="preserve">Additionally, as described in the City’s </w:t>
      </w:r>
      <w:r>
        <w:rPr>
          <w:rFonts w:eastAsia="Calibri" w:cs="TimesNewRomanPSMT"/>
          <w:szCs w:val="24"/>
        </w:rPr>
        <w:t>2010</w:t>
      </w:r>
      <w:r w:rsidRPr="00463DC8">
        <w:rPr>
          <w:rFonts w:eastAsia="Calibri" w:cs="TimesNewRomanPSMT"/>
          <w:szCs w:val="24"/>
        </w:rPr>
        <w:t xml:space="preserve"> UWMP, the City desires to implement a system that would allow for the delivery and use of recycled wastewater that is treated at the Santa Rosa </w:t>
      </w:r>
      <w:proofErr w:type="spellStart"/>
      <w:r w:rsidRPr="00463DC8">
        <w:rPr>
          <w:rFonts w:eastAsia="Calibri" w:cs="TimesNewRomanPSMT"/>
          <w:szCs w:val="24"/>
        </w:rPr>
        <w:t>Subregional</w:t>
      </w:r>
      <w:proofErr w:type="spellEnd"/>
      <w:r w:rsidRPr="00463DC8">
        <w:rPr>
          <w:rFonts w:eastAsia="Calibri" w:cs="TimesNewRomanPSMT"/>
          <w:szCs w:val="24"/>
        </w:rPr>
        <w:t xml:space="preserve"> System.  Table </w:t>
      </w:r>
      <w:r>
        <w:rPr>
          <w:rFonts w:eastAsia="Calibri" w:cs="TimesNewRomanPSMT"/>
          <w:szCs w:val="24"/>
        </w:rPr>
        <w:t>3.13</w:t>
      </w:r>
      <w:r w:rsidRPr="00463DC8">
        <w:rPr>
          <w:rFonts w:eastAsia="Calibri" w:cs="TimesNewRomanPSMT"/>
          <w:szCs w:val="24"/>
        </w:rPr>
        <w:t xml:space="preserve">-1 summarizes the City’s current water supply as well as future (planned) water supplies during normal water years through 2030.  </w:t>
      </w:r>
    </w:p>
    <w:p w:rsidR="00991FC5" w:rsidRPr="00463DC8" w:rsidRDefault="00991FC5" w:rsidP="00991FC5">
      <w:pPr>
        <w:widowControl w:val="0"/>
        <w:autoSpaceDE w:val="0"/>
        <w:autoSpaceDN w:val="0"/>
        <w:adjustRightInd w:val="0"/>
        <w:spacing w:after="0"/>
        <w:rPr>
          <w:rFonts w:eastAsia="Calibri" w:cs="TimesNewRomanPSMT"/>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008"/>
        <w:gridCol w:w="1188"/>
        <w:gridCol w:w="1188"/>
        <w:gridCol w:w="1188"/>
        <w:gridCol w:w="1188"/>
        <w:gridCol w:w="1188"/>
      </w:tblGrid>
      <w:tr w:rsidR="00991FC5" w:rsidRPr="00780C79">
        <w:trPr>
          <w:trHeight w:val="288"/>
        </w:trPr>
        <w:tc>
          <w:tcPr>
            <w:tcW w:w="9576" w:type="dxa"/>
            <w:gridSpan w:val="7"/>
            <w:shd w:val="clear" w:color="auto" w:fill="000000"/>
            <w:vAlign w:val="center"/>
          </w:tcPr>
          <w:p w:rsidR="00991FC5" w:rsidRPr="003B3A16" w:rsidRDefault="00991FC5" w:rsidP="00991FC5">
            <w:pPr>
              <w:pStyle w:val="Heading7"/>
              <w:jc w:val="center"/>
              <w:rPr>
                <w:rFonts w:ascii="Cambria" w:hAnsi="Cambria"/>
                <w:i w:val="0"/>
                <w:color w:val="FFFFFF"/>
                <w:sz w:val="20"/>
              </w:rPr>
            </w:pPr>
            <w:r w:rsidRPr="003B3A16">
              <w:rPr>
                <w:rFonts w:ascii="Cambria" w:hAnsi="Cambria"/>
                <w:i w:val="0"/>
                <w:color w:val="FFFFFF"/>
                <w:sz w:val="20"/>
              </w:rPr>
              <w:t>Table 3.13-1 Current and Planned Water Supplies (AFY)</w:t>
            </w:r>
          </w:p>
        </w:tc>
      </w:tr>
      <w:tr w:rsidR="00991FC5" w:rsidRPr="00780C79">
        <w:trPr>
          <w:trHeight w:val="288"/>
        </w:trPr>
        <w:tc>
          <w:tcPr>
            <w:tcW w:w="2628" w:type="dxa"/>
            <w:shd w:val="clear" w:color="auto" w:fill="D9D9D9"/>
            <w:vAlign w:val="center"/>
          </w:tcPr>
          <w:p w:rsidR="00991FC5" w:rsidRPr="00780C79" w:rsidRDefault="00991FC5">
            <w:pPr>
              <w:spacing w:after="0"/>
              <w:jc w:val="center"/>
              <w:rPr>
                <w:b/>
                <w:sz w:val="20"/>
              </w:rPr>
            </w:pPr>
            <w:r>
              <w:rPr>
                <w:b/>
                <w:sz w:val="20"/>
              </w:rPr>
              <w:t>Water Supply Sources</w:t>
            </w:r>
          </w:p>
        </w:tc>
        <w:tc>
          <w:tcPr>
            <w:tcW w:w="1008" w:type="dxa"/>
            <w:shd w:val="clear" w:color="auto" w:fill="D9D9D9"/>
            <w:vAlign w:val="center"/>
          </w:tcPr>
          <w:p w:rsidR="00991FC5" w:rsidRPr="00780C79" w:rsidRDefault="00991FC5" w:rsidP="00991FC5">
            <w:pPr>
              <w:spacing w:after="0"/>
              <w:jc w:val="center"/>
              <w:rPr>
                <w:b/>
                <w:sz w:val="20"/>
              </w:rPr>
            </w:pPr>
            <w:r>
              <w:rPr>
                <w:b/>
                <w:sz w:val="20"/>
              </w:rPr>
              <w:t>2010</w:t>
            </w:r>
          </w:p>
        </w:tc>
        <w:tc>
          <w:tcPr>
            <w:tcW w:w="1188" w:type="dxa"/>
            <w:shd w:val="clear" w:color="auto" w:fill="D9D9D9"/>
            <w:vAlign w:val="center"/>
          </w:tcPr>
          <w:p w:rsidR="00991FC5" w:rsidRPr="00BC6241" w:rsidRDefault="00991FC5">
            <w:pPr>
              <w:spacing w:after="0"/>
              <w:jc w:val="center"/>
              <w:rPr>
                <w:b/>
                <w:sz w:val="20"/>
                <w:vertAlign w:val="superscript"/>
              </w:rPr>
            </w:pPr>
            <w:r>
              <w:rPr>
                <w:b/>
                <w:sz w:val="20"/>
              </w:rPr>
              <w:t>2015</w:t>
            </w:r>
          </w:p>
        </w:tc>
        <w:tc>
          <w:tcPr>
            <w:tcW w:w="1188" w:type="dxa"/>
            <w:shd w:val="clear" w:color="auto" w:fill="D9D9D9"/>
            <w:vAlign w:val="center"/>
          </w:tcPr>
          <w:p w:rsidR="00991FC5" w:rsidRPr="00780C79" w:rsidRDefault="00991FC5">
            <w:pPr>
              <w:spacing w:after="0"/>
              <w:jc w:val="center"/>
              <w:rPr>
                <w:b/>
                <w:sz w:val="20"/>
              </w:rPr>
            </w:pPr>
            <w:r>
              <w:rPr>
                <w:b/>
                <w:sz w:val="20"/>
              </w:rPr>
              <w:t>2020</w:t>
            </w:r>
          </w:p>
        </w:tc>
        <w:tc>
          <w:tcPr>
            <w:tcW w:w="1188" w:type="dxa"/>
            <w:shd w:val="clear" w:color="auto" w:fill="D9D9D9"/>
            <w:vAlign w:val="center"/>
          </w:tcPr>
          <w:p w:rsidR="00991FC5" w:rsidRPr="00780C79" w:rsidRDefault="00991FC5">
            <w:pPr>
              <w:spacing w:after="0"/>
              <w:jc w:val="center"/>
              <w:rPr>
                <w:b/>
                <w:sz w:val="20"/>
              </w:rPr>
            </w:pPr>
            <w:r>
              <w:rPr>
                <w:b/>
                <w:sz w:val="20"/>
              </w:rPr>
              <w:t>2025</w:t>
            </w:r>
          </w:p>
        </w:tc>
        <w:tc>
          <w:tcPr>
            <w:tcW w:w="1188" w:type="dxa"/>
            <w:shd w:val="clear" w:color="auto" w:fill="D9D9D9"/>
            <w:vAlign w:val="center"/>
          </w:tcPr>
          <w:p w:rsidR="00991FC5" w:rsidRPr="00780C79" w:rsidRDefault="00991FC5">
            <w:pPr>
              <w:spacing w:after="0"/>
              <w:jc w:val="center"/>
              <w:rPr>
                <w:b/>
                <w:sz w:val="20"/>
              </w:rPr>
            </w:pPr>
            <w:r>
              <w:rPr>
                <w:b/>
                <w:sz w:val="20"/>
              </w:rPr>
              <w:t>2030</w:t>
            </w:r>
          </w:p>
        </w:tc>
        <w:tc>
          <w:tcPr>
            <w:tcW w:w="1188" w:type="dxa"/>
            <w:shd w:val="clear" w:color="auto" w:fill="D9D9D9"/>
            <w:vAlign w:val="center"/>
          </w:tcPr>
          <w:p w:rsidR="00991FC5" w:rsidRPr="00780C79" w:rsidRDefault="00991FC5">
            <w:pPr>
              <w:spacing w:after="0"/>
              <w:jc w:val="center"/>
              <w:rPr>
                <w:b/>
                <w:sz w:val="20"/>
              </w:rPr>
            </w:pPr>
            <w:r>
              <w:rPr>
                <w:b/>
                <w:sz w:val="20"/>
              </w:rPr>
              <w:t>2035</w:t>
            </w:r>
          </w:p>
        </w:tc>
      </w:tr>
      <w:tr w:rsidR="00991FC5" w:rsidRPr="00780C79">
        <w:trPr>
          <w:trHeight w:val="288"/>
        </w:trPr>
        <w:tc>
          <w:tcPr>
            <w:tcW w:w="2628" w:type="dxa"/>
          </w:tcPr>
          <w:p w:rsidR="00991FC5" w:rsidRPr="00A0798B" w:rsidRDefault="00991FC5" w:rsidP="00991FC5">
            <w:pPr>
              <w:spacing w:after="0"/>
              <w:jc w:val="left"/>
              <w:rPr>
                <w:sz w:val="20"/>
              </w:rPr>
            </w:pPr>
            <w:r w:rsidRPr="00A0798B">
              <w:rPr>
                <w:sz w:val="20"/>
              </w:rPr>
              <w:t xml:space="preserve">SCWA water supply </w:t>
            </w:r>
          </w:p>
        </w:tc>
        <w:tc>
          <w:tcPr>
            <w:tcW w:w="1008" w:type="dxa"/>
            <w:vAlign w:val="center"/>
          </w:tcPr>
          <w:p w:rsidR="00991FC5" w:rsidRPr="00A0798B" w:rsidRDefault="00991FC5" w:rsidP="00991FC5">
            <w:pPr>
              <w:spacing w:after="0"/>
              <w:jc w:val="center"/>
              <w:rPr>
                <w:sz w:val="20"/>
              </w:rPr>
            </w:pPr>
            <w:r w:rsidRPr="00A0798B">
              <w:rPr>
                <w:sz w:val="20"/>
              </w:rPr>
              <w:t>646</w:t>
            </w:r>
          </w:p>
        </w:tc>
        <w:tc>
          <w:tcPr>
            <w:tcW w:w="1188" w:type="dxa"/>
            <w:vAlign w:val="center"/>
          </w:tcPr>
          <w:p w:rsidR="00991FC5" w:rsidRPr="00A0798B" w:rsidRDefault="00991FC5" w:rsidP="00991FC5">
            <w:pPr>
              <w:spacing w:after="0"/>
              <w:jc w:val="center"/>
              <w:rPr>
                <w:sz w:val="20"/>
              </w:rPr>
            </w:pPr>
            <w:r w:rsidRPr="00A0798B">
              <w:rPr>
                <w:sz w:val="20"/>
              </w:rPr>
              <w:t>816</w:t>
            </w:r>
          </w:p>
        </w:tc>
        <w:tc>
          <w:tcPr>
            <w:tcW w:w="1188" w:type="dxa"/>
            <w:vAlign w:val="center"/>
          </w:tcPr>
          <w:p w:rsidR="00991FC5" w:rsidRPr="00A0798B" w:rsidRDefault="00991FC5" w:rsidP="00991FC5">
            <w:pPr>
              <w:spacing w:after="0"/>
              <w:jc w:val="center"/>
              <w:rPr>
                <w:sz w:val="20"/>
              </w:rPr>
            </w:pPr>
            <w:r w:rsidRPr="00A0798B">
              <w:rPr>
                <w:sz w:val="20"/>
              </w:rPr>
              <w:t>974</w:t>
            </w:r>
          </w:p>
        </w:tc>
        <w:tc>
          <w:tcPr>
            <w:tcW w:w="1188" w:type="dxa"/>
            <w:vAlign w:val="center"/>
          </w:tcPr>
          <w:p w:rsidR="00991FC5" w:rsidRPr="00A0798B" w:rsidRDefault="00991FC5" w:rsidP="00991FC5">
            <w:pPr>
              <w:spacing w:after="0"/>
              <w:jc w:val="center"/>
              <w:rPr>
                <w:sz w:val="20"/>
              </w:rPr>
            </w:pPr>
            <w:r w:rsidRPr="00A0798B">
              <w:rPr>
                <w:sz w:val="20"/>
              </w:rPr>
              <w:t>1,065</w:t>
            </w:r>
          </w:p>
        </w:tc>
        <w:tc>
          <w:tcPr>
            <w:tcW w:w="1188" w:type="dxa"/>
            <w:vAlign w:val="center"/>
          </w:tcPr>
          <w:p w:rsidR="00991FC5" w:rsidRPr="00A0798B" w:rsidRDefault="00991FC5" w:rsidP="00991FC5">
            <w:pPr>
              <w:spacing w:after="0"/>
              <w:jc w:val="center"/>
              <w:rPr>
                <w:sz w:val="20"/>
              </w:rPr>
            </w:pPr>
            <w:r w:rsidRPr="00A0798B">
              <w:rPr>
                <w:sz w:val="20"/>
              </w:rPr>
              <w:t>1,155</w:t>
            </w:r>
          </w:p>
        </w:tc>
        <w:tc>
          <w:tcPr>
            <w:tcW w:w="1188" w:type="dxa"/>
            <w:vAlign w:val="center"/>
          </w:tcPr>
          <w:p w:rsidR="00991FC5" w:rsidRPr="00A0798B" w:rsidRDefault="00991FC5" w:rsidP="00991FC5">
            <w:pPr>
              <w:spacing w:after="0"/>
              <w:jc w:val="center"/>
              <w:rPr>
                <w:sz w:val="20"/>
              </w:rPr>
            </w:pPr>
            <w:r>
              <w:rPr>
                <w:sz w:val="20"/>
              </w:rPr>
              <w:t>1,246</w:t>
            </w:r>
          </w:p>
        </w:tc>
      </w:tr>
      <w:tr w:rsidR="00991FC5" w:rsidRPr="00780C79">
        <w:trPr>
          <w:trHeight w:val="288"/>
        </w:trPr>
        <w:tc>
          <w:tcPr>
            <w:tcW w:w="2628" w:type="dxa"/>
          </w:tcPr>
          <w:p w:rsidR="00991FC5" w:rsidRPr="00780C79" w:rsidRDefault="00991FC5" w:rsidP="00991FC5">
            <w:pPr>
              <w:spacing w:after="0"/>
              <w:jc w:val="left"/>
              <w:rPr>
                <w:sz w:val="20"/>
              </w:rPr>
            </w:pPr>
            <w:r>
              <w:rPr>
                <w:sz w:val="20"/>
              </w:rPr>
              <w:t>Supplier Produced Groundwater</w:t>
            </w:r>
          </w:p>
        </w:tc>
        <w:tc>
          <w:tcPr>
            <w:tcW w:w="1008" w:type="dxa"/>
            <w:vAlign w:val="center"/>
          </w:tcPr>
          <w:p w:rsidR="00991FC5" w:rsidRDefault="00991FC5" w:rsidP="00991FC5">
            <w:pPr>
              <w:spacing w:after="0"/>
              <w:jc w:val="center"/>
              <w:rPr>
                <w:sz w:val="20"/>
              </w:rPr>
            </w:pPr>
            <w:r>
              <w:rPr>
                <w:sz w:val="20"/>
              </w:rPr>
              <w:t>295</w:t>
            </w:r>
          </w:p>
        </w:tc>
        <w:tc>
          <w:tcPr>
            <w:tcW w:w="1188" w:type="dxa"/>
            <w:vAlign w:val="center"/>
          </w:tcPr>
          <w:p w:rsidR="00991FC5" w:rsidRDefault="00991FC5" w:rsidP="00991FC5">
            <w:pPr>
              <w:spacing w:after="0"/>
              <w:jc w:val="center"/>
              <w:rPr>
                <w:sz w:val="20"/>
              </w:rPr>
            </w:pPr>
            <w:r>
              <w:rPr>
                <w:sz w:val="20"/>
              </w:rPr>
              <w:t>530</w:t>
            </w:r>
          </w:p>
        </w:tc>
        <w:tc>
          <w:tcPr>
            <w:tcW w:w="1188" w:type="dxa"/>
            <w:vAlign w:val="center"/>
          </w:tcPr>
          <w:p w:rsidR="00991FC5" w:rsidRDefault="00991FC5" w:rsidP="00991FC5">
            <w:pPr>
              <w:spacing w:after="0"/>
              <w:jc w:val="center"/>
              <w:rPr>
                <w:sz w:val="20"/>
              </w:rPr>
            </w:pPr>
            <w:r>
              <w:rPr>
                <w:sz w:val="20"/>
              </w:rPr>
              <w:t>530</w:t>
            </w:r>
          </w:p>
        </w:tc>
        <w:tc>
          <w:tcPr>
            <w:tcW w:w="1188" w:type="dxa"/>
            <w:vAlign w:val="center"/>
          </w:tcPr>
          <w:p w:rsidR="00991FC5" w:rsidRDefault="00991FC5" w:rsidP="00991FC5">
            <w:pPr>
              <w:spacing w:after="0"/>
              <w:jc w:val="center"/>
              <w:rPr>
                <w:sz w:val="20"/>
              </w:rPr>
            </w:pPr>
            <w:r>
              <w:rPr>
                <w:sz w:val="20"/>
              </w:rPr>
              <w:t>530</w:t>
            </w:r>
          </w:p>
        </w:tc>
        <w:tc>
          <w:tcPr>
            <w:tcW w:w="1188" w:type="dxa"/>
            <w:vAlign w:val="center"/>
          </w:tcPr>
          <w:p w:rsidR="00991FC5" w:rsidRDefault="00991FC5" w:rsidP="00991FC5">
            <w:pPr>
              <w:spacing w:after="0"/>
              <w:jc w:val="center"/>
              <w:rPr>
                <w:sz w:val="20"/>
              </w:rPr>
            </w:pPr>
            <w:r>
              <w:rPr>
                <w:sz w:val="20"/>
              </w:rPr>
              <w:t>530</w:t>
            </w:r>
          </w:p>
        </w:tc>
        <w:tc>
          <w:tcPr>
            <w:tcW w:w="1188" w:type="dxa"/>
            <w:vAlign w:val="center"/>
          </w:tcPr>
          <w:p w:rsidR="00991FC5" w:rsidDel="006F1E69" w:rsidRDefault="00991FC5" w:rsidP="00991FC5">
            <w:pPr>
              <w:spacing w:after="0"/>
              <w:jc w:val="center"/>
              <w:rPr>
                <w:sz w:val="20"/>
              </w:rPr>
            </w:pPr>
            <w:r>
              <w:rPr>
                <w:sz w:val="20"/>
              </w:rPr>
              <w:t>530</w:t>
            </w:r>
          </w:p>
        </w:tc>
      </w:tr>
      <w:tr w:rsidR="00991FC5" w:rsidRPr="00780C79">
        <w:trPr>
          <w:trHeight w:val="288"/>
        </w:trPr>
        <w:tc>
          <w:tcPr>
            <w:tcW w:w="2628" w:type="dxa"/>
          </w:tcPr>
          <w:p w:rsidR="00991FC5" w:rsidRPr="00780C79" w:rsidRDefault="00991FC5" w:rsidP="00991FC5">
            <w:pPr>
              <w:spacing w:after="0"/>
              <w:jc w:val="left"/>
              <w:rPr>
                <w:sz w:val="20"/>
              </w:rPr>
            </w:pPr>
            <w:r>
              <w:rPr>
                <w:sz w:val="20"/>
              </w:rPr>
              <w:t>Recycled Water</w:t>
            </w:r>
          </w:p>
        </w:tc>
        <w:tc>
          <w:tcPr>
            <w:tcW w:w="1008" w:type="dxa"/>
            <w:vAlign w:val="center"/>
          </w:tcPr>
          <w:p w:rsidR="00991FC5" w:rsidRPr="00780C79" w:rsidRDefault="00991FC5" w:rsidP="00991FC5">
            <w:pPr>
              <w:spacing w:after="0"/>
              <w:jc w:val="center"/>
              <w:rPr>
                <w:sz w:val="20"/>
              </w:rPr>
            </w:pPr>
            <w:r>
              <w:rPr>
                <w:sz w:val="20"/>
              </w:rPr>
              <w:t>0</w:t>
            </w:r>
          </w:p>
        </w:tc>
        <w:tc>
          <w:tcPr>
            <w:tcW w:w="1188" w:type="dxa"/>
            <w:vAlign w:val="center"/>
          </w:tcPr>
          <w:p w:rsidR="00991FC5" w:rsidRPr="00780C79" w:rsidRDefault="00991FC5" w:rsidP="00991FC5">
            <w:pPr>
              <w:spacing w:after="0"/>
              <w:jc w:val="center"/>
              <w:rPr>
                <w:sz w:val="20"/>
              </w:rPr>
            </w:pPr>
            <w:r>
              <w:rPr>
                <w:sz w:val="20"/>
              </w:rPr>
              <w:t>13</w:t>
            </w:r>
          </w:p>
        </w:tc>
        <w:tc>
          <w:tcPr>
            <w:tcW w:w="1188" w:type="dxa"/>
            <w:vAlign w:val="center"/>
          </w:tcPr>
          <w:p w:rsidR="00991FC5" w:rsidRPr="00780C79" w:rsidRDefault="00991FC5" w:rsidP="00991FC5">
            <w:pPr>
              <w:spacing w:after="0"/>
              <w:jc w:val="center"/>
              <w:rPr>
                <w:sz w:val="20"/>
              </w:rPr>
            </w:pPr>
            <w:r>
              <w:rPr>
                <w:sz w:val="20"/>
              </w:rPr>
              <w:t>32</w:t>
            </w:r>
          </w:p>
        </w:tc>
        <w:tc>
          <w:tcPr>
            <w:tcW w:w="1188" w:type="dxa"/>
            <w:vAlign w:val="center"/>
          </w:tcPr>
          <w:p w:rsidR="00991FC5" w:rsidRPr="00780C79" w:rsidRDefault="00991FC5" w:rsidP="00991FC5">
            <w:pPr>
              <w:spacing w:after="0"/>
              <w:jc w:val="center"/>
              <w:rPr>
                <w:sz w:val="20"/>
              </w:rPr>
            </w:pPr>
            <w:r>
              <w:rPr>
                <w:sz w:val="20"/>
              </w:rPr>
              <w:t>32</w:t>
            </w:r>
          </w:p>
        </w:tc>
        <w:tc>
          <w:tcPr>
            <w:tcW w:w="1188" w:type="dxa"/>
            <w:vAlign w:val="center"/>
          </w:tcPr>
          <w:p w:rsidR="00991FC5" w:rsidRPr="00780C79" w:rsidRDefault="00991FC5" w:rsidP="00991FC5">
            <w:pPr>
              <w:spacing w:after="0"/>
              <w:jc w:val="center"/>
              <w:rPr>
                <w:sz w:val="20"/>
              </w:rPr>
            </w:pPr>
            <w:r>
              <w:rPr>
                <w:sz w:val="20"/>
              </w:rPr>
              <w:t>32</w:t>
            </w:r>
          </w:p>
        </w:tc>
        <w:tc>
          <w:tcPr>
            <w:tcW w:w="1188" w:type="dxa"/>
            <w:vAlign w:val="center"/>
          </w:tcPr>
          <w:p w:rsidR="00991FC5" w:rsidRPr="00780C79" w:rsidRDefault="00991FC5" w:rsidP="00991FC5">
            <w:pPr>
              <w:spacing w:after="0"/>
              <w:jc w:val="center"/>
              <w:rPr>
                <w:sz w:val="20"/>
              </w:rPr>
            </w:pPr>
            <w:r>
              <w:rPr>
                <w:sz w:val="20"/>
              </w:rPr>
              <w:t>32</w:t>
            </w:r>
          </w:p>
        </w:tc>
      </w:tr>
      <w:tr w:rsidR="00991FC5" w:rsidRPr="00780C79">
        <w:trPr>
          <w:trHeight w:val="288"/>
        </w:trPr>
        <w:tc>
          <w:tcPr>
            <w:tcW w:w="2628" w:type="dxa"/>
          </w:tcPr>
          <w:p w:rsidR="00991FC5" w:rsidRDefault="00991FC5" w:rsidP="00991FC5">
            <w:pPr>
              <w:spacing w:after="0"/>
              <w:jc w:val="left"/>
              <w:rPr>
                <w:sz w:val="20"/>
              </w:rPr>
            </w:pPr>
            <w:r>
              <w:rPr>
                <w:sz w:val="20"/>
              </w:rPr>
              <w:t>Future Water Conservation</w:t>
            </w:r>
            <w:r w:rsidRPr="006702A4">
              <w:rPr>
                <w:sz w:val="20"/>
                <w:vertAlign w:val="superscript"/>
              </w:rPr>
              <w:t>(A)</w:t>
            </w:r>
          </w:p>
        </w:tc>
        <w:tc>
          <w:tcPr>
            <w:tcW w:w="1008" w:type="dxa"/>
            <w:vAlign w:val="center"/>
          </w:tcPr>
          <w:p w:rsidR="00991FC5" w:rsidRDefault="00991FC5" w:rsidP="00991FC5">
            <w:pPr>
              <w:spacing w:after="0"/>
              <w:jc w:val="center"/>
              <w:rPr>
                <w:sz w:val="20"/>
              </w:rPr>
            </w:pPr>
            <w:r>
              <w:rPr>
                <w:sz w:val="20"/>
              </w:rPr>
              <w:t>-</w:t>
            </w:r>
          </w:p>
        </w:tc>
        <w:tc>
          <w:tcPr>
            <w:tcW w:w="1188" w:type="dxa"/>
            <w:vAlign w:val="center"/>
          </w:tcPr>
          <w:p w:rsidR="00991FC5" w:rsidRDefault="00991FC5" w:rsidP="00991FC5">
            <w:pPr>
              <w:spacing w:after="0"/>
              <w:jc w:val="center"/>
              <w:rPr>
                <w:sz w:val="20"/>
              </w:rPr>
            </w:pPr>
            <w:r>
              <w:rPr>
                <w:sz w:val="20"/>
              </w:rPr>
              <w:t>104</w:t>
            </w:r>
          </w:p>
        </w:tc>
        <w:tc>
          <w:tcPr>
            <w:tcW w:w="1188" w:type="dxa"/>
            <w:vAlign w:val="center"/>
          </w:tcPr>
          <w:p w:rsidR="00991FC5" w:rsidRDefault="00991FC5" w:rsidP="00991FC5">
            <w:pPr>
              <w:spacing w:after="0"/>
              <w:jc w:val="center"/>
              <w:rPr>
                <w:sz w:val="20"/>
              </w:rPr>
            </w:pPr>
            <w:r>
              <w:rPr>
                <w:sz w:val="20"/>
              </w:rPr>
              <w:t>148</w:t>
            </w:r>
          </w:p>
        </w:tc>
        <w:tc>
          <w:tcPr>
            <w:tcW w:w="1188" w:type="dxa"/>
            <w:vAlign w:val="center"/>
          </w:tcPr>
          <w:p w:rsidR="00991FC5" w:rsidRDefault="00991FC5" w:rsidP="00991FC5">
            <w:pPr>
              <w:spacing w:after="0"/>
              <w:jc w:val="center"/>
              <w:rPr>
                <w:sz w:val="20"/>
              </w:rPr>
            </w:pPr>
            <w:r>
              <w:rPr>
                <w:sz w:val="20"/>
              </w:rPr>
              <w:t>191</w:t>
            </w:r>
          </w:p>
        </w:tc>
        <w:tc>
          <w:tcPr>
            <w:tcW w:w="1188" w:type="dxa"/>
            <w:vAlign w:val="center"/>
          </w:tcPr>
          <w:p w:rsidR="00991FC5" w:rsidRDefault="00991FC5" w:rsidP="00991FC5">
            <w:pPr>
              <w:spacing w:after="0"/>
              <w:jc w:val="center"/>
              <w:rPr>
                <w:sz w:val="20"/>
              </w:rPr>
            </w:pPr>
            <w:r>
              <w:rPr>
                <w:sz w:val="20"/>
              </w:rPr>
              <w:t>232</w:t>
            </w:r>
          </w:p>
        </w:tc>
        <w:tc>
          <w:tcPr>
            <w:tcW w:w="1188" w:type="dxa"/>
            <w:vAlign w:val="center"/>
          </w:tcPr>
          <w:p w:rsidR="00991FC5" w:rsidRDefault="00991FC5" w:rsidP="00991FC5">
            <w:pPr>
              <w:spacing w:after="0"/>
              <w:jc w:val="center"/>
              <w:rPr>
                <w:sz w:val="20"/>
              </w:rPr>
            </w:pPr>
            <w:r>
              <w:rPr>
                <w:sz w:val="20"/>
              </w:rPr>
              <w:t>268</w:t>
            </w:r>
          </w:p>
        </w:tc>
      </w:tr>
      <w:tr w:rsidR="00991FC5" w:rsidRPr="00780C79">
        <w:trPr>
          <w:trHeight w:val="288"/>
        </w:trPr>
        <w:tc>
          <w:tcPr>
            <w:tcW w:w="2628" w:type="dxa"/>
          </w:tcPr>
          <w:p w:rsidR="00991FC5" w:rsidRPr="00780C79" w:rsidRDefault="00991FC5" w:rsidP="00991FC5">
            <w:pPr>
              <w:spacing w:after="0"/>
              <w:jc w:val="left"/>
              <w:rPr>
                <w:b/>
                <w:sz w:val="20"/>
              </w:rPr>
            </w:pPr>
            <w:r w:rsidRPr="00780C79">
              <w:rPr>
                <w:b/>
                <w:sz w:val="20"/>
              </w:rPr>
              <w:t>Total</w:t>
            </w:r>
          </w:p>
        </w:tc>
        <w:tc>
          <w:tcPr>
            <w:tcW w:w="1008" w:type="dxa"/>
            <w:vAlign w:val="center"/>
          </w:tcPr>
          <w:p w:rsidR="00991FC5" w:rsidRPr="00780C79" w:rsidRDefault="00991FC5" w:rsidP="00991FC5">
            <w:pPr>
              <w:spacing w:after="0"/>
              <w:jc w:val="center"/>
              <w:rPr>
                <w:sz w:val="20"/>
              </w:rPr>
            </w:pPr>
            <w:r>
              <w:rPr>
                <w:sz w:val="20"/>
              </w:rPr>
              <w:t>941</w:t>
            </w:r>
          </w:p>
        </w:tc>
        <w:tc>
          <w:tcPr>
            <w:tcW w:w="1188" w:type="dxa"/>
            <w:vAlign w:val="center"/>
          </w:tcPr>
          <w:p w:rsidR="00991FC5" w:rsidRPr="00780C79" w:rsidRDefault="00991FC5" w:rsidP="00991FC5">
            <w:pPr>
              <w:spacing w:after="0"/>
              <w:jc w:val="center"/>
              <w:rPr>
                <w:sz w:val="20"/>
              </w:rPr>
            </w:pPr>
            <w:r>
              <w:rPr>
                <w:sz w:val="20"/>
              </w:rPr>
              <w:t>1,463</w:t>
            </w:r>
          </w:p>
        </w:tc>
        <w:tc>
          <w:tcPr>
            <w:tcW w:w="1188" w:type="dxa"/>
            <w:vAlign w:val="center"/>
          </w:tcPr>
          <w:p w:rsidR="00991FC5" w:rsidRPr="00780C79" w:rsidRDefault="00991FC5" w:rsidP="00991FC5">
            <w:pPr>
              <w:spacing w:after="0"/>
              <w:jc w:val="center"/>
              <w:rPr>
                <w:sz w:val="20"/>
              </w:rPr>
            </w:pPr>
            <w:r>
              <w:rPr>
                <w:sz w:val="20"/>
              </w:rPr>
              <w:t>1,684</w:t>
            </w:r>
          </w:p>
        </w:tc>
        <w:tc>
          <w:tcPr>
            <w:tcW w:w="1188" w:type="dxa"/>
            <w:vAlign w:val="center"/>
          </w:tcPr>
          <w:p w:rsidR="00991FC5" w:rsidRPr="00780C79" w:rsidRDefault="00991FC5" w:rsidP="00991FC5">
            <w:pPr>
              <w:spacing w:after="0"/>
              <w:jc w:val="center"/>
              <w:rPr>
                <w:sz w:val="20"/>
              </w:rPr>
            </w:pPr>
            <w:r>
              <w:rPr>
                <w:sz w:val="20"/>
              </w:rPr>
              <w:t>1,818</w:t>
            </w:r>
          </w:p>
        </w:tc>
        <w:tc>
          <w:tcPr>
            <w:tcW w:w="1188" w:type="dxa"/>
            <w:vAlign w:val="center"/>
          </w:tcPr>
          <w:p w:rsidR="00991FC5" w:rsidRPr="00780C79" w:rsidRDefault="00991FC5" w:rsidP="00991FC5">
            <w:pPr>
              <w:spacing w:after="0"/>
              <w:jc w:val="center"/>
              <w:rPr>
                <w:sz w:val="20"/>
              </w:rPr>
            </w:pPr>
            <w:r>
              <w:rPr>
                <w:sz w:val="20"/>
              </w:rPr>
              <w:t>1,949</w:t>
            </w:r>
          </w:p>
        </w:tc>
        <w:tc>
          <w:tcPr>
            <w:tcW w:w="1188" w:type="dxa"/>
            <w:vAlign w:val="center"/>
          </w:tcPr>
          <w:p w:rsidR="00991FC5" w:rsidRPr="00780C79" w:rsidRDefault="00991FC5" w:rsidP="00991FC5">
            <w:pPr>
              <w:spacing w:after="0"/>
              <w:jc w:val="center"/>
              <w:rPr>
                <w:sz w:val="20"/>
              </w:rPr>
            </w:pPr>
            <w:r>
              <w:rPr>
                <w:sz w:val="20"/>
              </w:rPr>
              <w:t>2,076</w:t>
            </w:r>
          </w:p>
        </w:tc>
      </w:tr>
    </w:tbl>
    <w:p w:rsidR="00991FC5" w:rsidRDefault="00991FC5" w:rsidP="00991FC5">
      <w:pPr>
        <w:pStyle w:val="Source"/>
        <w:spacing w:after="0" w:line="240" w:lineRule="auto"/>
        <w:ind w:left="86"/>
        <w:rPr>
          <w:rFonts w:eastAsia="Calibri"/>
        </w:rPr>
      </w:pPr>
      <w:r>
        <w:rPr>
          <w:rFonts w:eastAsia="Calibri"/>
        </w:rPr>
        <w:t xml:space="preserve">Source: City of Cotati 2010 Urban Water Management Plan, Table 4.6; </w:t>
      </w:r>
    </w:p>
    <w:p w:rsidR="00991FC5" w:rsidRPr="00435236" w:rsidRDefault="00991FC5" w:rsidP="00991FC5">
      <w:pPr>
        <w:pStyle w:val="Source"/>
        <w:spacing w:after="0" w:line="240" w:lineRule="auto"/>
        <w:ind w:left="86"/>
        <w:rPr>
          <w:rFonts w:eastAsia="Calibri"/>
        </w:rPr>
      </w:pPr>
      <w:r>
        <w:rPr>
          <w:rFonts w:eastAsia="Calibri"/>
        </w:rPr>
        <w:t>(a): Based on 2010 Urban Water Management Plan Water Demand Analysis and Water Conservation Measures Update (</w:t>
      </w:r>
      <w:proofErr w:type="spellStart"/>
      <w:r>
        <w:rPr>
          <w:rFonts w:eastAsia="Calibri"/>
        </w:rPr>
        <w:t>Maddeus</w:t>
      </w:r>
      <w:proofErr w:type="spellEnd"/>
      <w:r>
        <w:rPr>
          <w:rFonts w:eastAsia="Calibri"/>
        </w:rPr>
        <w:t xml:space="preserve"> Water Management).</w:t>
      </w:r>
    </w:p>
    <w:p w:rsidR="00991FC5" w:rsidRPr="00FC29C9" w:rsidRDefault="00991FC5" w:rsidP="00991FC5">
      <w:pPr>
        <w:pStyle w:val="Heading4"/>
      </w:pPr>
      <w:r w:rsidRPr="00FC29C9">
        <w:t>SCWA Water Supply</w:t>
      </w:r>
    </w:p>
    <w:p w:rsidR="00991FC5" w:rsidRDefault="00991FC5" w:rsidP="00991FC5">
      <w:pPr>
        <w:keepNext/>
        <w:rPr>
          <w:rFonts w:eastAsia="Calibri"/>
        </w:rPr>
      </w:pPr>
      <w:r>
        <w:rPr>
          <w:rFonts w:eastAsia="Calibri"/>
        </w:rPr>
        <w:t xml:space="preserve">The following description of the SCWA water system is excerpted from the SCWA’s 2010 UWMP and the City’s 2010 UWMP.  </w:t>
      </w:r>
    </w:p>
    <w:p w:rsidR="00991FC5" w:rsidRDefault="00991FC5" w:rsidP="00991FC5">
      <w:pPr>
        <w:rPr>
          <w:rFonts w:eastAsia="Calibri"/>
        </w:rPr>
      </w:pPr>
      <w:r>
        <w:rPr>
          <w:rFonts w:eastAsia="Calibri"/>
        </w:rPr>
        <w:t>Most of the SCWA’s water supply is from the Russian River.  Water is impounded at the Coyote Valley Dam, forming the Lake Mendocino reservoir, and the Warm Springs Dam on Dry Creek, forming the Lake Sonoma reservoir.  The SCWA was the local sponsor of these projects and has the right to control water supply releases from both reservoirs.  These dams are federal projects under the jurisdiction of the United States Army Corps of Engineers (Corps). The SCWA owns and operates diversion facilities on the Russian River in the Wohler Bridge area, which divert water from the natural flow of the Russian River, water released from Lake Sonoma, and water released from Lake Mendocino. The SCWA contracts with the Corps for water stored and released from the water supply pool of each dam. Lake Sonoma has a design capacity of 381,000 acre-feet (AF) and a design water supply pool capacity of 245,000 AF. Lake Mendocino has a design capacity of 122,500 AF and a water supply pool capacity of 68,400 AF, which can be increased in the summer to 111,000 acre-feet. Lake Mendocino also captures water released into Potter Valley by Pacific Gas and Electric (PG&amp;E), which operates a hydropower generation station at the head of Potter Valley. Water for the power station is diverted through a tunnel from the South Fork of the Eel River via the Cape Horn Dam regulation facility.</w:t>
      </w:r>
    </w:p>
    <w:p w:rsidR="00991FC5" w:rsidRDefault="00991FC5" w:rsidP="00991FC5">
      <w:pPr>
        <w:rPr>
          <w:rFonts w:eastAsia="Calibri"/>
        </w:rPr>
      </w:pPr>
      <w:r>
        <w:rPr>
          <w:rFonts w:eastAsia="Calibri"/>
        </w:rPr>
        <w:lastRenderedPageBreak/>
        <w:t xml:space="preserve">SCWA diverts water from the river near Wohler Bridge into infiltration ponds and pumps groundwater principally via six </w:t>
      </w:r>
      <w:proofErr w:type="spellStart"/>
      <w:r>
        <w:rPr>
          <w:rFonts w:eastAsia="Calibri"/>
        </w:rPr>
        <w:t>Ranney</w:t>
      </w:r>
      <w:proofErr w:type="spellEnd"/>
      <w:r>
        <w:rPr>
          <w:rFonts w:eastAsia="Calibri"/>
        </w:rPr>
        <w:t xml:space="preserve"> Collectors (large diameter shallow wells about 90 feet deep relative to the stream bed). </w:t>
      </w:r>
      <w:r>
        <w:rPr>
          <w:rFonts w:eastAsia="Calibri"/>
          <w:sz w:val="16"/>
          <w:szCs w:val="16"/>
        </w:rPr>
        <w:t xml:space="preserve"> </w:t>
      </w:r>
      <w:r>
        <w:rPr>
          <w:rFonts w:eastAsia="Calibri"/>
        </w:rPr>
        <w:t>A system of aqueducts, booster pumps, and tanks then distribute the water to various major water contractors and a handful of other SCWA customers located to the south of the Russian River in Sonoma and Marin counties. The water contractors operate retail water systems that provide water principally for municipal use.</w:t>
      </w:r>
    </w:p>
    <w:p w:rsidR="00991FC5" w:rsidRDefault="00991FC5" w:rsidP="00991FC5">
      <w:pPr>
        <w:rPr>
          <w:rFonts w:eastAsia="Calibri"/>
        </w:rPr>
      </w:pPr>
      <w:r>
        <w:rPr>
          <w:rFonts w:eastAsia="Calibri" w:cs="FranklinGothic-Book"/>
        </w:rPr>
        <w:t>The</w:t>
      </w:r>
      <w:r w:rsidRPr="006702A4">
        <w:rPr>
          <w:rFonts w:eastAsia="Calibri" w:cs="FranklinGothic-Book"/>
        </w:rPr>
        <w:t xml:space="preserve"> SCWA’s water supply has been augmented by</w:t>
      </w:r>
      <w:r>
        <w:rPr>
          <w:rFonts w:ascii="FranklinGothic-Book" w:eastAsia="Calibri" w:hAnsi="FranklinGothic-Book" w:cs="FranklinGothic-Book"/>
        </w:rPr>
        <w:t xml:space="preserve"> </w:t>
      </w:r>
      <w:r w:rsidRPr="002E2080">
        <w:rPr>
          <w:rFonts w:eastAsia="Calibri"/>
        </w:rPr>
        <w:t xml:space="preserve">groundwater extracted from </w:t>
      </w:r>
      <w:r>
        <w:rPr>
          <w:rFonts w:eastAsia="Calibri"/>
        </w:rPr>
        <w:t>seven</w:t>
      </w:r>
      <w:r w:rsidRPr="002E2080">
        <w:rPr>
          <w:rFonts w:eastAsia="Calibri"/>
        </w:rPr>
        <w:t xml:space="preserve"> wells located </w:t>
      </w:r>
      <w:r>
        <w:rPr>
          <w:rFonts w:eastAsia="Calibri"/>
        </w:rPr>
        <w:t>in the Mirabel area</w:t>
      </w:r>
      <w:r w:rsidRPr="002E2080">
        <w:rPr>
          <w:rFonts w:eastAsia="Calibri"/>
        </w:rPr>
        <w:t>.</w:t>
      </w:r>
      <w:r>
        <w:rPr>
          <w:rFonts w:eastAsia="Calibri"/>
        </w:rPr>
        <w:t xml:space="preserve">  These wells are currently not operated as primary production facilities, but provide standby production and may be used as primary facilities if needed.  The SCWA also operates the Occidental and Todd Road groundwater wells to supplement supply.  </w:t>
      </w:r>
    </w:p>
    <w:p w:rsidR="00991FC5" w:rsidRDefault="00991FC5" w:rsidP="00991FC5">
      <w:pPr>
        <w:pStyle w:val="Heading4"/>
      </w:pPr>
      <w:r>
        <w:t>Surface Water Quality</w:t>
      </w:r>
    </w:p>
    <w:p w:rsidR="00991FC5" w:rsidRDefault="00991FC5" w:rsidP="00991FC5">
      <w:pPr>
        <w:rPr>
          <w:rFonts w:eastAsia="Calibri"/>
        </w:rPr>
      </w:pPr>
      <w:r>
        <w:rPr>
          <w:rFonts w:eastAsia="Calibri"/>
        </w:rPr>
        <w:t>The quality of SCWA’s water deliveries is regulated by the California Department of Public Health (CDPH), which requires regular collection and testing of water samples to ensure that the quality meets Federal and state regulatory standards and does not exceed maximum contaminant levels (MCLs). The SCWA’s water quality testing has consistently yielded results within the acceptable regulatory limits since the late 1950s.</w:t>
      </w:r>
    </w:p>
    <w:p w:rsidR="00991FC5" w:rsidRDefault="00991FC5" w:rsidP="00991FC5">
      <w:pPr>
        <w:rPr>
          <w:rFonts w:eastAsia="Calibri"/>
        </w:rPr>
      </w:pPr>
      <w:r>
        <w:rPr>
          <w:rFonts w:eastAsia="Calibri"/>
        </w:rPr>
        <w:t xml:space="preserve">The SCWA treats its water supplies by chlorination for residual disinfection. The SCWA also adds sodium hydroxide for pH adjustment to prevent copper plumbing corrosion and copper in the wastewater. The SCWA’s water is of high quality, due to the natural filtration process utilized by the SCWA’s </w:t>
      </w:r>
      <w:proofErr w:type="spellStart"/>
      <w:r>
        <w:rPr>
          <w:rFonts w:eastAsia="Calibri"/>
        </w:rPr>
        <w:t>Ranney</w:t>
      </w:r>
      <w:proofErr w:type="spellEnd"/>
      <w:r>
        <w:rPr>
          <w:rFonts w:eastAsia="Calibri"/>
        </w:rPr>
        <w:t xml:space="preserve"> Collectors.</w:t>
      </w:r>
    </w:p>
    <w:p w:rsidR="00991FC5" w:rsidRDefault="00991FC5" w:rsidP="00991FC5">
      <w:pPr>
        <w:rPr>
          <w:rFonts w:eastAsia="Calibri"/>
        </w:rPr>
      </w:pPr>
      <w:r>
        <w:rPr>
          <w:rFonts w:eastAsia="Calibri"/>
        </w:rPr>
        <w:t>The quality of the SCWA’s surface water and groundwater supply sources over the next 25 years is expected to continue to meet State and Federal regulatory standards. Surface and groundwater will continue to be treated to meet drinking water standards and no impacts to water supplies due to water quality deficiencies are foreseen to occur in the next 25 years (SCWA UWMP, 2010).</w:t>
      </w:r>
    </w:p>
    <w:p w:rsidR="00991FC5" w:rsidRPr="002E2080" w:rsidRDefault="00991FC5" w:rsidP="00991FC5">
      <w:pPr>
        <w:pStyle w:val="Heading4"/>
      </w:pPr>
      <w:r w:rsidRPr="002E2080">
        <w:t xml:space="preserve">Water Rights and </w:t>
      </w:r>
      <w:r>
        <w:t xml:space="preserve">City </w:t>
      </w:r>
      <w:r w:rsidRPr="002E2080">
        <w:t>Diversion Facilities</w:t>
      </w:r>
    </w:p>
    <w:p w:rsidR="00991FC5" w:rsidRDefault="00991FC5" w:rsidP="00991FC5">
      <w:pPr>
        <w:rPr>
          <w:rFonts w:eastAsia="Calibri"/>
        </w:rPr>
      </w:pPr>
      <w:r>
        <w:rPr>
          <w:rFonts w:eastAsia="Calibri"/>
        </w:rPr>
        <w:t>The City takes water from the SCWA system from two turnouts located on the Cotati Intertie Aqueduct</w:t>
      </w:r>
      <w:r>
        <w:rPr>
          <w:rFonts w:eastAsia="Calibri"/>
          <w:sz w:val="16"/>
          <w:szCs w:val="16"/>
        </w:rPr>
        <w:t xml:space="preserve"> </w:t>
      </w:r>
      <w:r>
        <w:rPr>
          <w:rFonts w:eastAsia="Calibri"/>
        </w:rPr>
        <w:t>to approximately 2,500 water service connections throughout the city. Under the water supply agreement with the SCWA, the City has an entitlement maximum of 1,520 acre-feet per year (AFY).  This agreement is in effect until January 30, 2040. The combined Russian River supply and SCWA groundwater supply is herein referred to as the SCWA water supply. The SCWA can provide the City water by either supplying 100% of that supply through its Russian River supply or supplementing that supply through the SCWA groundwater supply.</w:t>
      </w:r>
    </w:p>
    <w:p w:rsidR="00991FC5" w:rsidRDefault="00991FC5" w:rsidP="00991FC5">
      <w:pPr>
        <w:rPr>
          <w:rFonts w:eastAsia="Calibri"/>
        </w:rPr>
      </w:pPr>
      <w:r>
        <w:rPr>
          <w:rFonts w:eastAsia="Calibri"/>
        </w:rPr>
        <w:t xml:space="preserve">The water rights by which the City of Cotati obtains Russian River water are held by the SCWA and permitted by the California State Water Resources Control Board (SWRCB). The SCWA has the right to divert up to a total of 75,000 AFY for its water contractors and customers. The SCWA has filed an application for various petitions pertinent to the City’s water supply with the SWRCB, which would include water rights diversions from the Russian River to 101,00 AFY.  Water supply </w:t>
      </w:r>
      <w:r>
        <w:rPr>
          <w:rFonts w:eastAsia="Calibri"/>
        </w:rPr>
        <w:lastRenderedPageBreak/>
        <w:t xml:space="preserve">projections in the 2010 SCWA UWMP includes the assumption that surface water supplies from the Russian River will increase to above 75,000 AFY by 2027 to 80,000 AFY in 2035.   </w:t>
      </w:r>
    </w:p>
    <w:p w:rsidR="00991FC5" w:rsidRDefault="00991FC5" w:rsidP="00991FC5">
      <w:pPr>
        <w:rPr>
          <w:rFonts w:eastAsia="Calibri"/>
        </w:rPr>
      </w:pPr>
      <w:r>
        <w:rPr>
          <w:rFonts w:eastAsia="Calibri"/>
        </w:rPr>
        <w:t>The City of Cotati is one of eight water contractors that have entered into a water supply agreement with the SCWA for the delivery of Russian River water to its customers. In addition to water contractors, the SCWA has multiple other water transmission system customers, including the Marin Municipal Water District and Forestville Water District.  The water contractors consist of:</w:t>
      </w:r>
    </w:p>
    <w:p w:rsidR="00991FC5" w:rsidRDefault="00991FC5" w:rsidP="00991FC5">
      <w:pPr>
        <w:ind w:left="720"/>
        <w:rPr>
          <w:rFonts w:eastAsia="Calibri"/>
        </w:rPr>
      </w:pPr>
      <w:r>
        <w:rPr>
          <w:rFonts w:eastAsia="Calibri"/>
        </w:rPr>
        <w:t>• City of Cotati</w:t>
      </w:r>
    </w:p>
    <w:p w:rsidR="00991FC5" w:rsidRDefault="00991FC5" w:rsidP="00991FC5">
      <w:pPr>
        <w:ind w:left="720"/>
        <w:rPr>
          <w:rFonts w:eastAsia="Calibri"/>
        </w:rPr>
      </w:pPr>
      <w:r>
        <w:rPr>
          <w:rFonts w:eastAsia="Calibri"/>
        </w:rPr>
        <w:t>• City of Petaluma</w:t>
      </w:r>
    </w:p>
    <w:p w:rsidR="00991FC5" w:rsidRDefault="00991FC5" w:rsidP="00991FC5">
      <w:pPr>
        <w:ind w:left="720"/>
        <w:rPr>
          <w:rFonts w:eastAsia="Calibri"/>
        </w:rPr>
      </w:pPr>
      <w:r>
        <w:rPr>
          <w:rFonts w:eastAsia="Calibri"/>
        </w:rPr>
        <w:t>• City of Rohnert Park</w:t>
      </w:r>
    </w:p>
    <w:p w:rsidR="00991FC5" w:rsidRDefault="00991FC5" w:rsidP="00991FC5">
      <w:pPr>
        <w:ind w:left="720"/>
        <w:rPr>
          <w:rFonts w:eastAsia="Calibri"/>
        </w:rPr>
      </w:pPr>
      <w:r>
        <w:rPr>
          <w:rFonts w:eastAsia="Calibri"/>
        </w:rPr>
        <w:t>• City of Santa Rosa</w:t>
      </w:r>
    </w:p>
    <w:p w:rsidR="00991FC5" w:rsidRDefault="00991FC5" w:rsidP="00991FC5">
      <w:pPr>
        <w:ind w:left="720"/>
        <w:rPr>
          <w:rFonts w:eastAsia="Calibri"/>
        </w:rPr>
      </w:pPr>
      <w:r>
        <w:rPr>
          <w:rFonts w:eastAsia="Calibri"/>
        </w:rPr>
        <w:t>• City of Sonoma</w:t>
      </w:r>
    </w:p>
    <w:p w:rsidR="00991FC5" w:rsidRDefault="00991FC5" w:rsidP="00991FC5">
      <w:pPr>
        <w:ind w:left="720"/>
        <w:rPr>
          <w:rFonts w:eastAsia="Calibri"/>
        </w:rPr>
      </w:pPr>
      <w:r>
        <w:rPr>
          <w:rFonts w:eastAsia="Calibri"/>
        </w:rPr>
        <w:t>• Valley of the Moon Water District</w:t>
      </w:r>
    </w:p>
    <w:p w:rsidR="00991FC5" w:rsidRDefault="00991FC5" w:rsidP="00991FC5">
      <w:pPr>
        <w:ind w:left="720"/>
        <w:rPr>
          <w:rFonts w:eastAsia="Calibri"/>
        </w:rPr>
      </w:pPr>
      <w:r>
        <w:rPr>
          <w:rFonts w:eastAsia="Calibri"/>
        </w:rPr>
        <w:t>• North Marin Water District</w:t>
      </w:r>
    </w:p>
    <w:p w:rsidR="00991FC5" w:rsidRDefault="00991FC5" w:rsidP="00991FC5">
      <w:pPr>
        <w:ind w:left="720"/>
        <w:rPr>
          <w:rFonts w:eastAsia="Calibri"/>
          <w:sz w:val="16"/>
          <w:szCs w:val="16"/>
        </w:rPr>
      </w:pPr>
      <w:r>
        <w:rPr>
          <w:rFonts w:eastAsia="Calibri"/>
        </w:rPr>
        <w:t>• Town of Windsor</w:t>
      </w:r>
    </w:p>
    <w:p w:rsidR="00991FC5" w:rsidRDefault="00991FC5" w:rsidP="00991FC5">
      <w:pPr>
        <w:rPr>
          <w:rFonts w:eastAsia="Calibri"/>
        </w:rPr>
      </w:pPr>
      <w:r>
        <w:rPr>
          <w:rFonts w:eastAsia="Calibri"/>
        </w:rPr>
        <w:t>Governance of the relationship between the water contractors and the SCWA is through the Water Advisory Committee (WAC), which is comprised of an elected official from each of the water contractors. The WAC meets quarterly or as needed, and is supported by a Technical Advisory Committee (TAC). The TAC is comprised of technical staff from each of the water contractors and meets monthly or as needed. Subcommittees of the TAC are established on an ad hoc basis.</w:t>
      </w:r>
    </w:p>
    <w:p w:rsidR="00991FC5" w:rsidRDefault="00991FC5" w:rsidP="00991FC5">
      <w:pPr>
        <w:pStyle w:val="Heading4"/>
        <w:rPr>
          <w:rFonts w:eastAsia="Calibri"/>
        </w:rPr>
      </w:pPr>
      <w:r>
        <w:rPr>
          <w:rFonts w:eastAsia="Calibri"/>
        </w:rPr>
        <w:t>City Groundwater Supply</w:t>
      </w:r>
    </w:p>
    <w:p w:rsidR="00991FC5" w:rsidRDefault="00991FC5" w:rsidP="00991FC5">
      <w:pPr>
        <w:rPr>
          <w:rFonts w:eastAsia="Calibri"/>
        </w:rPr>
      </w:pPr>
      <w:r>
        <w:rPr>
          <w:rFonts w:eastAsia="Calibri"/>
        </w:rPr>
        <w:t xml:space="preserve">There are currently three groundwater wells located within the City’s water distribution system. The following provides a general summary of the wells, based on information provided by the 2011 Cotati Water Distribution System Master Plan (WDSMP).  </w:t>
      </w:r>
    </w:p>
    <w:p w:rsidR="00991FC5" w:rsidRDefault="00991FC5" w:rsidP="00991FC5">
      <w:pPr>
        <w:ind w:left="2340" w:hanging="1620"/>
        <w:rPr>
          <w:rFonts w:eastAsia="Calibri"/>
        </w:rPr>
      </w:pPr>
      <w:r>
        <w:rPr>
          <w:rFonts w:eastAsia="Calibri"/>
        </w:rPr>
        <w:t xml:space="preserve">• </w:t>
      </w:r>
      <w:r>
        <w:rPr>
          <w:rFonts w:eastAsia="Calibri"/>
          <w:b/>
          <w:bCs/>
        </w:rPr>
        <w:t xml:space="preserve">Well No. 1A: </w:t>
      </w:r>
      <w:r>
        <w:rPr>
          <w:rFonts w:eastAsia="Calibri"/>
          <w:b/>
          <w:bCs/>
        </w:rPr>
        <w:tab/>
      </w:r>
      <w:r>
        <w:rPr>
          <w:rFonts w:eastAsia="Calibri"/>
        </w:rPr>
        <w:t>Well 1, which was constructed in 1975 and subsequently renovated and changed to well 1A in the early 1990s, is equipped with a 25 horse power (HP) vertical turbine pump. The 25 HP pump is rated for a capacity of roughly 425 gallons per minute (</w:t>
      </w:r>
      <w:proofErr w:type="spellStart"/>
      <w:r>
        <w:rPr>
          <w:rFonts w:eastAsia="Calibri"/>
        </w:rPr>
        <w:t>gpm</w:t>
      </w:r>
      <w:proofErr w:type="spellEnd"/>
      <w:r>
        <w:rPr>
          <w:rFonts w:eastAsia="Calibri"/>
        </w:rPr>
        <w:t xml:space="preserve">) at approximately 125 feet of head.  Well 1A was further renovated in 2010, and the iron and manganese filter was renovated in 2011.   The 25 HP well pump fills an on-site 10,000 gallon storage tank that supplies a 40 HP booster pump with a capacity ranging from 340 </w:t>
      </w:r>
      <w:proofErr w:type="spellStart"/>
      <w:r>
        <w:rPr>
          <w:rFonts w:eastAsia="Calibri"/>
        </w:rPr>
        <w:t>gpm</w:t>
      </w:r>
      <w:proofErr w:type="spellEnd"/>
      <w:r>
        <w:rPr>
          <w:rFonts w:eastAsia="Calibri"/>
        </w:rPr>
        <w:t xml:space="preserve"> to 390 </w:t>
      </w:r>
      <w:proofErr w:type="spellStart"/>
      <w:r>
        <w:rPr>
          <w:rFonts w:eastAsia="Calibri"/>
        </w:rPr>
        <w:t>gpm</w:t>
      </w:r>
      <w:proofErr w:type="spellEnd"/>
      <w:r>
        <w:rPr>
          <w:rFonts w:eastAsia="Calibri"/>
        </w:rPr>
        <w:t>.</w:t>
      </w:r>
    </w:p>
    <w:p w:rsidR="00991FC5" w:rsidRDefault="00991FC5" w:rsidP="00991FC5">
      <w:pPr>
        <w:ind w:left="2340" w:hanging="1620"/>
        <w:rPr>
          <w:rFonts w:eastAsia="Calibri"/>
        </w:rPr>
      </w:pPr>
      <w:r>
        <w:rPr>
          <w:rFonts w:eastAsia="Calibri"/>
        </w:rPr>
        <w:lastRenderedPageBreak/>
        <w:t xml:space="preserve">• </w:t>
      </w:r>
      <w:r>
        <w:rPr>
          <w:rFonts w:eastAsia="Calibri"/>
          <w:b/>
          <w:bCs/>
        </w:rPr>
        <w:t xml:space="preserve">Well No. 2: </w:t>
      </w:r>
      <w:r>
        <w:rPr>
          <w:rFonts w:eastAsia="Calibri"/>
          <w:b/>
          <w:bCs/>
        </w:rPr>
        <w:tab/>
      </w:r>
      <w:r>
        <w:rPr>
          <w:rFonts w:eastAsia="Calibri"/>
        </w:rPr>
        <w:t xml:space="preserve">Well 2, which was constructed in 1976 and renovated in 2009, is equipped with a 50 HP vertical turbine pump. The 50 HP pump is rated for a capacity of roughly 380 </w:t>
      </w:r>
      <w:proofErr w:type="spellStart"/>
      <w:r>
        <w:rPr>
          <w:rFonts w:eastAsia="Calibri"/>
        </w:rPr>
        <w:t>gpm</w:t>
      </w:r>
      <w:proofErr w:type="spellEnd"/>
      <w:r>
        <w:rPr>
          <w:rFonts w:eastAsia="Calibri"/>
        </w:rPr>
        <w:t xml:space="preserve"> at approximately 380 feet of head.</w:t>
      </w:r>
    </w:p>
    <w:p w:rsidR="00991FC5" w:rsidRDefault="00991FC5" w:rsidP="00991FC5">
      <w:pPr>
        <w:ind w:left="2340" w:hanging="1620"/>
        <w:rPr>
          <w:rFonts w:eastAsia="Calibri"/>
        </w:rPr>
      </w:pPr>
      <w:r>
        <w:rPr>
          <w:rFonts w:eastAsia="Calibri"/>
        </w:rPr>
        <w:t xml:space="preserve">• </w:t>
      </w:r>
      <w:r>
        <w:rPr>
          <w:rFonts w:eastAsia="Calibri"/>
          <w:b/>
          <w:bCs/>
        </w:rPr>
        <w:t xml:space="preserve">Well No. 3: </w:t>
      </w:r>
      <w:r>
        <w:rPr>
          <w:rFonts w:eastAsia="Calibri"/>
          <w:b/>
          <w:bCs/>
        </w:rPr>
        <w:tab/>
      </w:r>
      <w:r>
        <w:rPr>
          <w:rFonts w:eastAsia="Calibri"/>
        </w:rPr>
        <w:t xml:space="preserve">Well 3, which was constructed in 1979 and subsequently renovated in 2010, is equipped with a 100 HP vertical turbine pump. The 100 HP pump is rated for a capacity of roughly 700 </w:t>
      </w:r>
      <w:proofErr w:type="spellStart"/>
      <w:r>
        <w:rPr>
          <w:rFonts w:eastAsia="Calibri"/>
        </w:rPr>
        <w:t>gpm</w:t>
      </w:r>
      <w:proofErr w:type="spellEnd"/>
      <w:r>
        <w:rPr>
          <w:rFonts w:eastAsia="Calibri"/>
        </w:rPr>
        <w:t xml:space="preserve"> at approximately 380 feet of head.  The iron and manganese filter was renovated in 2011.  </w:t>
      </w:r>
      <w:r w:rsidR="005D7E08">
        <w:rPr>
          <w:rFonts w:eastAsia="Calibri"/>
        </w:rPr>
        <w:t xml:space="preserve">The City is in the process of converting this well to install a submersible pump.  </w:t>
      </w:r>
    </w:p>
    <w:p w:rsidR="00991FC5" w:rsidRDefault="00991FC5" w:rsidP="00991FC5">
      <w:pPr>
        <w:rPr>
          <w:rFonts w:eastAsia="Calibri"/>
        </w:rPr>
      </w:pPr>
      <w:r>
        <w:rPr>
          <w:rFonts w:eastAsia="Calibri"/>
        </w:rPr>
        <w:t>Table 3.13-2 shows the location and general information for each of the City’s three wells.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9"/>
        <w:gridCol w:w="2367"/>
        <w:gridCol w:w="1188"/>
        <w:gridCol w:w="1188"/>
        <w:gridCol w:w="1188"/>
        <w:gridCol w:w="18"/>
      </w:tblGrid>
      <w:tr w:rsidR="00991FC5" w:rsidRPr="00780C79">
        <w:trPr>
          <w:jc w:val="center"/>
        </w:trPr>
        <w:tc>
          <w:tcPr>
            <w:tcW w:w="7218" w:type="dxa"/>
            <w:gridSpan w:val="6"/>
            <w:shd w:val="clear" w:color="auto" w:fill="000000"/>
          </w:tcPr>
          <w:p w:rsidR="00991FC5" w:rsidRPr="00780C79" w:rsidRDefault="00991FC5" w:rsidP="00991FC5">
            <w:pPr>
              <w:pStyle w:val="Heading7"/>
              <w:jc w:val="center"/>
            </w:pPr>
            <w:r w:rsidRPr="003B3A16">
              <w:rPr>
                <w:rFonts w:ascii="Cambria" w:hAnsi="Cambria"/>
                <w:i w:val="0"/>
                <w:color w:val="FFFFFF"/>
                <w:sz w:val="20"/>
              </w:rPr>
              <w:t xml:space="preserve">Table </w:t>
            </w:r>
            <w:r>
              <w:rPr>
                <w:rFonts w:ascii="Cambria" w:hAnsi="Cambria"/>
                <w:i w:val="0"/>
                <w:color w:val="FFFFFF"/>
                <w:sz w:val="20"/>
              </w:rPr>
              <w:t>3.13</w:t>
            </w:r>
            <w:r w:rsidRPr="003B3A16">
              <w:rPr>
                <w:rFonts w:ascii="Cambria" w:hAnsi="Cambria"/>
                <w:i w:val="0"/>
                <w:color w:val="FFFFFF"/>
                <w:sz w:val="20"/>
              </w:rPr>
              <w:t>-2 City of Cotati Groundwater Wells</w:t>
            </w:r>
          </w:p>
        </w:tc>
      </w:tr>
      <w:tr w:rsidR="00991FC5" w:rsidRPr="00780C79">
        <w:trPr>
          <w:gridAfter w:val="1"/>
          <w:wAfter w:w="18" w:type="dxa"/>
          <w:trHeight w:val="288"/>
          <w:jc w:val="center"/>
        </w:trPr>
        <w:tc>
          <w:tcPr>
            <w:tcW w:w="1269" w:type="dxa"/>
            <w:shd w:val="clear" w:color="auto" w:fill="D9D9D9"/>
            <w:vAlign w:val="center"/>
          </w:tcPr>
          <w:p w:rsidR="00991FC5" w:rsidRPr="00780C79" w:rsidRDefault="00991FC5">
            <w:pPr>
              <w:spacing w:after="0"/>
              <w:jc w:val="center"/>
              <w:rPr>
                <w:b/>
                <w:sz w:val="20"/>
              </w:rPr>
            </w:pPr>
            <w:r>
              <w:rPr>
                <w:b/>
                <w:sz w:val="20"/>
              </w:rPr>
              <w:t>Facility Name</w:t>
            </w:r>
          </w:p>
        </w:tc>
        <w:tc>
          <w:tcPr>
            <w:tcW w:w="2367" w:type="dxa"/>
            <w:shd w:val="clear" w:color="auto" w:fill="D9D9D9"/>
            <w:vAlign w:val="center"/>
          </w:tcPr>
          <w:p w:rsidR="00991FC5" w:rsidRPr="00780C79" w:rsidRDefault="00991FC5" w:rsidP="00991FC5">
            <w:pPr>
              <w:spacing w:after="0"/>
              <w:jc w:val="center"/>
              <w:rPr>
                <w:b/>
                <w:sz w:val="20"/>
              </w:rPr>
            </w:pPr>
            <w:r>
              <w:rPr>
                <w:b/>
                <w:sz w:val="20"/>
              </w:rPr>
              <w:t>Location</w:t>
            </w:r>
          </w:p>
        </w:tc>
        <w:tc>
          <w:tcPr>
            <w:tcW w:w="1188" w:type="dxa"/>
            <w:shd w:val="clear" w:color="auto" w:fill="D9D9D9"/>
            <w:vAlign w:val="center"/>
          </w:tcPr>
          <w:p w:rsidR="00991FC5" w:rsidRPr="00780C79" w:rsidRDefault="00991FC5">
            <w:pPr>
              <w:spacing w:after="0"/>
              <w:jc w:val="center"/>
              <w:rPr>
                <w:b/>
                <w:sz w:val="20"/>
              </w:rPr>
            </w:pPr>
            <w:r>
              <w:rPr>
                <w:b/>
                <w:sz w:val="20"/>
              </w:rPr>
              <w:t>Pump Station Elevation (feet)</w:t>
            </w:r>
          </w:p>
        </w:tc>
        <w:tc>
          <w:tcPr>
            <w:tcW w:w="1188" w:type="dxa"/>
            <w:shd w:val="clear" w:color="auto" w:fill="D9D9D9"/>
            <w:vAlign w:val="center"/>
          </w:tcPr>
          <w:p w:rsidR="00991FC5" w:rsidRPr="00780C79" w:rsidRDefault="00991FC5">
            <w:pPr>
              <w:spacing w:after="0"/>
              <w:jc w:val="center"/>
              <w:rPr>
                <w:b/>
                <w:sz w:val="20"/>
              </w:rPr>
            </w:pPr>
            <w:r>
              <w:rPr>
                <w:b/>
                <w:sz w:val="20"/>
              </w:rPr>
              <w:t>Design Capacity (</w:t>
            </w:r>
            <w:proofErr w:type="spellStart"/>
            <w:r>
              <w:rPr>
                <w:b/>
                <w:sz w:val="20"/>
              </w:rPr>
              <w:t>gpm</w:t>
            </w:r>
            <w:proofErr w:type="spellEnd"/>
            <w:r>
              <w:rPr>
                <w:b/>
                <w:sz w:val="20"/>
              </w:rPr>
              <w:t>)</w:t>
            </w:r>
          </w:p>
        </w:tc>
        <w:tc>
          <w:tcPr>
            <w:tcW w:w="1188" w:type="dxa"/>
            <w:shd w:val="clear" w:color="auto" w:fill="D9D9D9"/>
            <w:vAlign w:val="center"/>
          </w:tcPr>
          <w:p w:rsidR="00991FC5" w:rsidRPr="00780C79" w:rsidRDefault="00991FC5">
            <w:pPr>
              <w:spacing w:after="0"/>
              <w:jc w:val="center"/>
              <w:rPr>
                <w:b/>
                <w:sz w:val="20"/>
              </w:rPr>
            </w:pPr>
            <w:r>
              <w:rPr>
                <w:b/>
                <w:sz w:val="20"/>
              </w:rPr>
              <w:t>Design Head (feet)</w:t>
            </w:r>
          </w:p>
        </w:tc>
      </w:tr>
      <w:tr w:rsidR="00991FC5" w:rsidRPr="00780C79">
        <w:trPr>
          <w:gridAfter w:val="1"/>
          <w:wAfter w:w="18" w:type="dxa"/>
          <w:trHeight w:val="288"/>
          <w:jc w:val="center"/>
        </w:trPr>
        <w:tc>
          <w:tcPr>
            <w:tcW w:w="1269" w:type="dxa"/>
            <w:vAlign w:val="center"/>
          </w:tcPr>
          <w:p w:rsidR="00991FC5" w:rsidRPr="00780C79" w:rsidRDefault="00991FC5" w:rsidP="00991FC5">
            <w:pPr>
              <w:spacing w:after="0"/>
              <w:jc w:val="center"/>
              <w:rPr>
                <w:sz w:val="20"/>
              </w:rPr>
            </w:pPr>
            <w:r>
              <w:rPr>
                <w:sz w:val="20"/>
              </w:rPr>
              <w:t>Well 1A</w:t>
            </w:r>
          </w:p>
        </w:tc>
        <w:tc>
          <w:tcPr>
            <w:tcW w:w="2367" w:type="dxa"/>
            <w:vAlign w:val="center"/>
          </w:tcPr>
          <w:p w:rsidR="00991FC5" w:rsidRPr="00780C79" w:rsidRDefault="00991FC5" w:rsidP="00991FC5">
            <w:pPr>
              <w:spacing w:after="0"/>
              <w:jc w:val="center"/>
              <w:rPr>
                <w:sz w:val="20"/>
              </w:rPr>
            </w:pPr>
            <w:r>
              <w:rPr>
                <w:sz w:val="20"/>
              </w:rPr>
              <w:t>90 East Sierra Avenue (in the Hub)</w:t>
            </w:r>
          </w:p>
        </w:tc>
        <w:tc>
          <w:tcPr>
            <w:tcW w:w="1188" w:type="dxa"/>
            <w:vAlign w:val="center"/>
          </w:tcPr>
          <w:p w:rsidR="00991FC5" w:rsidRPr="00780C79" w:rsidRDefault="00991FC5" w:rsidP="00991FC5">
            <w:pPr>
              <w:spacing w:after="0"/>
              <w:jc w:val="center"/>
              <w:rPr>
                <w:sz w:val="20"/>
              </w:rPr>
            </w:pPr>
            <w:r>
              <w:rPr>
                <w:sz w:val="20"/>
              </w:rPr>
              <w:t>106</w:t>
            </w:r>
          </w:p>
        </w:tc>
        <w:tc>
          <w:tcPr>
            <w:tcW w:w="1188" w:type="dxa"/>
            <w:vAlign w:val="center"/>
          </w:tcPr>
          <w:p w:rsidR="00991FC5" w:rsidRPr="00780C79" w:rsidRDefault="00991FC5" w:rsidP="00991FC5">
            <w:pPr>
              <w:spacing w:after="0"/>
              <w:jc w:val="center"/>
              <w:rPr>
                <w:sz w:val="20"/>
              </w:rPr>
            </w:pPr>
            <w:r>
              <w:rPr>
                <w:sz w:val="20"/>
              </w:rPr>
              <w:t>425</w:t>
            </w:r>
          </w:p>
        </w:tc>
        <w:tc>
          <w:tcPr>
            <w:tcW w:w="1188" w:type="dxa"/>
            <w:vAlign w:val="center"/>
          </w:tcPr>
          <w:p w:rsidR="00991FC5" w:rsidRPr="00780C79" w:rsidRDefault="00991FC5" w:rsidP="00991FC5">
            <w:pPr>
              <w:spacing w:after="0"/>
              <w:jc w:val="center"/>
              <w:rPr>
                <w:sz w:val="20"/>
              </w:rPr>
            </w:pPr>
            <w:r>
              <w:rPr>
                <w:sz w:val="20"/>
              </w:rPr>
              <w:t>125</w:t>
            </w:r>
          </w:p>
        </w:tc>
      </w:tr>
      <w:tr w:rsidR="00991FC5" w:rsidRPr="00780C79">
        <w:trPr>
          <w:gridAfter w:val="1"/>
          <w:wAfter w:w="18" w:type="dxa"/>
          <w:trHeight w:val="288"/>
          <w:jc w:val="center"/>
        </w:trPr>
        <w:tc>
          <w:tcPr>
            <w:tcW w:w="1269" w:type="dxa"/>
            <w:vAlign w:val="center"/>
          </w:tcPr>
          <w:p w:rsidR="00991FC5" w:rsidRDefault="00991FC5" w:rsidP="00991FC5">
            <w:pPr>
              <w:spacing w:after="0"/>
              <w:jc w:val="center"/>
              <w:rPr>
                <w:sz w:val="20"/>
              </w:rPr>
            </w:pPr>
            <w:r>
              <w:rPr>
                <w:sz w:val="20"/>
              </w:rPr>
              <w:t>Well 1A Booster</w:t>
            </w:r>
          </w:p>
        </w:tc>
        <w:tc>
          <w:tcPr>
            <w:tcW w:w="2367" w:type="dxa"/>
            <w:vAlign w:val="center"/>
          </w:tcPr>
          <w:p w:rsidR="00991FC5" w:rsidRDefault="00991FC5" w:rsidP="00991FC5">
            <w:pPr>
              <w:spacing w:after="0"/>
              <w:jc w:val="center"/>
              <w:rPr>
                <w:sz w:val="20"/>
              </w:rPr>
            </w:pPr>
            <w:r>
              <w:rPr>
                <w:sz w:val="20"/>
              </w:rPr>
              <w:t>90 East Sierra Avenue (in the Hub)</w:t>
            </w:r>
          </w:p>
        </w:tc>
        <w:tc>
          <w:tcPr>
            <w:tcW w:w="1188" w:type="dxa"/>
            <w:vAlign w:val="center"/>
          </w:tcPr>
          <w:p w:rsidR="00991FC5" w:rsidRDefault="00991FC5" w:rsidP="00991FC5">
            <w:pPr>
              <w:spacing w:after="0"/>
              <w:jc w:val="center"/>
              <w:rPr>
                <w:sz w:val="20"/>
              </w:rPr>
            </w:pPr>
            <w:r>
              <w:rPr>
                <w:sz w:val="20"/>
              </w:rPr>
              <w:t>106</w:t>
            </w:r>
          </w:p>
        </w:tc>
        <w:tc>
          <w:tcPr>
            <w:tcW w:w="1188" w:type="dxa"/>
            <w:vAlign w:val="center"/>
          </w:tcPr>
          <w:p w:rsidR="00991FC5" w:rsidRDefault="00991FC5" w:rsidP="00991FC5">
            <w:pPr>
              <w:spacing w:after="0"/>
              <w:jc w:val="center"/>
              <w:rPr>
                <w:sz w:val="20"/>
              </w:rPr>
            </w:pPr>
            <w:r>
              <w:rPr>
                <w:sz w:val="20"/>
              </w:rPr>
              <w:t>340-390</w:t>
            </w:r>
          </w:p>
        </w:tc>
        <w:tc>
          <w:tcPr>
            <w:tcW w:w="1188" w:type="dxa"/>
            <w:vAlign w:val="center"/>
          </w:tcPr>
          <w:p w:rsidR="00991FC5" w:rsidRDefault="00991FC5" w:rsidP="00991FC5">
            <w:pPr>
              <w:spacing w:after="0"/>
              <w:jc w:val="center"/>
              <w:rPr>
                <w:sz w:val="20"/>
              </w:rPr>
            </w:pPr>
            <w:r>
              <w:rPr>
                <w:sz w:val="20"/>
              </w:rPr>
              <w:t>430</w:t>
            </w:r>
          </w:p>
        </w:tc>
      </w:tr>
      <w:tr w:rsidR="00991FC5" w:rsidRPr="00780C79">
        <w:trPr>
          <w:gridAfter w:val="1"/>
          <w:wAfter w:w="18" w:type="dxa"/>
          <w:trHeight w:val="458"/>
          <w:jc w:val="center"/>
        </w:trPr>
        <w:tc>
          <w:tcPr>
            <w:tcW w:w="1269" w:type="dxa"/>
            <w:vAlign w:val="center"/>
          </w:tcPr>
          <w:p w:rsidR="00991FC5" w:rsidRPr="00780C79" w:rsidRDefault="00991FC5" w:rsidP="00991FC5">
            <w:pPr>
              <w:spacing w:after="0"/>
              <w:jc w:val="center"/>
              <w:rPr>
                <w:sz w:val="20"/>
              </w:rPr>
            </w:pPr>
            <w:r>
              <w:rPr>
                <w:sz w:val="20"/>
              </w:rPr>
              <w:t>Well 2</w:t>
            </w:r>
          </w:p>
        </w:tc>
        <w:tc>
          <w:tcPr>
            <w:tcW w:w="2367" w:type="dxa"/>
            <w:vAlign w:val="center"/>
          </w:tcPr>
          <w:p w:rsidR="00991FC5" w:rsidRPr="00780C79" w:rsidRDefault="00991FC5" w:rsidP="00991FC5">
            <w:pPr>
              <w:spacing w:after="0"/>
              <w:jc w:val="center"/>
              <w:rPr>
                <w:sz w:val="20"/>
              </w:rPr>
            </w:pPr>
            <w:r>
              <w:rPr>
                <w:sz w:val="20"/>
              </w:rPr>
              <w:t>8562 Lakewood Avenue</w:t>
            </w:r>
          </w:p>
        </w:tc>
        <w:tc>
          <w:tcPr>
            <w:tcW w:w="1188" w:type="dxa"/>
            <w:vAlign w:val="center"/>
          </w:tcPr>
          <w:p w:rsidR="00991FC5" w:rsidRPr="00780C79" w:rsidRDefault="00991FC5" w:rsidP="00991FC5">
            <w:pPr>
              <w:spacing w:after="0"/>
              <w:jc w:val="center"/>
              <w:rPr>
                <w:sz w:val="20"/>
              </w:rPr>
            </w:pPr>
            <w:r>
              <w:rPr>
                <w:sz w:val="20"/>
              </w:rPr>
              <w:t>111.8</w:t>
            </w:r>
          </w:p>
        </w:tc>
        <w:tc>
          <w:tcPr>
            <w:tcW w:w="1188" w:type="dxa"/>
            <w:vAlign w:val="center"/>
          </w:tcPr>
          <w:p w:rsidR="00991FC5" w:rsidRPr="00780C79" w:rsidRDefault="00991FC5" w:rsidP="00991FC5">
            <w:pPr>
              <w:spacing w:after="0"/>
              <w:jc w:val="center"/>
              <w:rPr>
                <w:sz w:val="20"/>
              </w:rPr>
            </w:pPr>
            <w:r>
              <w:rPr>
                <w:sz w:val="20"/>
              </w:rPr>
              <w:t>380</w:t>
            </w:r>
          </w:p>
        </w:tc>
        <w:tc>
          <w:tcPr>
            <w:tcW w:w="1188" w:type="dxa"/>
            <w:vAlign w:val="center"/>
          </w:tcPr>
          <w:p w:rsidR="00991FC5" w:rsidRPr="00780C79" w:rsidRDefault="00991FC5" w:rsidP="00991FC5">
            <w:pPr>
              <w:spacing w:after="0"/>
              <w:jc w:val="center"/>
              <w:rPr>
                <w:sz w:val="20"/>
              </w:rPr>
            </w:pPr>
            <w:r>
              <w:rPr>
                <w:sz w:val="20"/>
              </w:rPr>
              <w:t>380</w:t>
            </w:r>
          </w:p>
        </w:tc>
      </w:tr>
      <w:tr w:rsidR="00991FC5" w:rsidRPr="00780C79">
        <w:trPr>
          <w:gridAfter w:val="1"/>
          <w:wAfter w:w="18" w:type="dxa"/>
          <w:trHeight w:val="288"/>
          <w:jc w:val="center"/>
        </w:trPr>
        <w:tc>
          <w:tcPr>
            <w:tcW w:w="1269" w:type="dxa"/>
            <w:vAlign w:val="center"/>
          </w:tcPr>
          <w:p w:rsidR="00991FC5" w:rsidRPr="00780C79" w:rsidRDefault="00991FC5" w:rsidP="00991FC5">
            <w:pPr>
              <w:spacing w:after="0"/>
              <w:jc w:val="center"/>
              <w:rPr>
                <w:sz w:val="20"/>
              </w:rPr>
            </w:pPr>
            <w:r>
              <w:rPr>
                <w:sz w:val="20"/>
              </w:rPr>
              <w:t>Well 3</w:t>
            </w:r>
          </w:p>
        </w:tc>
        <w:tc>
          <w:tcPr>
            <w:tcW w:w="2367" w:type="dxa"/>
            <w:vAlign w:val="center"/>
          </w:tcPr>
          <w:p w:rsidR="00991FC5" w:rsidRPr="00780C79" w:rsidRDefault="00991FC5" w:rsidP="00991FC5">
            <w:pPr>
              <w:spacing w:after="0"/>
              <w:jc w:val="center"/>
              <w:rPr>
                <w:sz w:val="20"/>
              </w:rPr>
            </w:pPr>
            <w:r>
              <w:rPr>
                <w:sz w:val="20"/>
              </w:rPr>
              <w:t>Northwest corner of Cotati, near Houser Street</w:t>
            </w:r>
          </w:p>
        </w:tc>
        <w:tc>
          <w:tcPr>
            <w:tcW w:w="1188" w:type="dxa"/>
            <w:vAlign w:val="center"/>
          </w:tcPr>
          <w:p w:rsidR="00991FC5" w:rsidRPr="00780C79" w:rsidRDefault="00991FC5" w:rsidP="00991FC5">
            <w:pPr>
              <w:spacing w:after="0"/>
              <w:jc w:val="center"/>
              <w:rPr>
                <w:sz w:val="20"/>
              </w:rPr>
            </w:pPr>
            <w:r>
              <w:rPr>
                <w:sz w:val="20"/>
              </w:rPr>
              <w:t>94.5</w:t>
            </w:r>
          </w:p>
        </w:tc>
        <w:tc>
          <w:tcPr>
            <w:tcW w:w="1188" w:type="dxa"/>
            <w:vAlign w:val="center"/>
          </w:tcPr>
          <w:p w:rsidR="00991FC5" w:rsidRPr="00780C79" w:rsidRDefault="00991FC5" w:rsidP="00991FC5">
            <w:pPr>
              <w:spacing w:after="0"/>
              <w:jc w:val="center"/>
              <w:rPr>
                <w:sz w:val="20"/>
              </w:rPr>
            </w:pPr>
            <w:r>
              <w:rPr>
                <w:sz w:val="20"/>
              </w:rPr>
              <w:t>700</w:t>
            </w:r>
          </w:p>
        </w:tc>
        <w:tc>
          <w:tcPr>
            <w:tcW w:w="1188" w:type="dxa"/>
            <w:vAlign w:val="center"/>
          </w:tcPr>
          <w:p w:rsidR="00991FC5" w:rsidRPr="00780C79" w:rsidRDefault="00991FC5" w:rsidP="00991FC5">
            <w:pPr>
              <w:spacing w:after="0"/>
              <w:jc w:val="center"/>
              <w:rPr>
                <w:sz w:val="20"/>
              </w:rPr>
            </w:pPr>
            <w:r>
              <w:rPr>
                <w:sz w:val="20"/>
              </w:rPr>
              <w:t>380</w:t>
            </w:r>
          </w:p>
        </w:tc>
      </w:tr>
    </w:tbl>
    <w:p w:rsidR="00991FC5" w:rsidRPr="003679D4" w:rsidRDefault="00991FC5" w:rsidP="00991FC5">
      <w:pPr>
        <w:pStyle w:val="Source"/>
        <w:rPr>
          <w:rFonts w:eastAsia="Calibri"/>
        </w:rPr>
      </w:pPr>
      <w:r>
        <w:rPr>
          <w:rFonts w:eastAsia="Calibri"/>
        </w:rPr>
        <w:tab/>
      </w:r>
      <w:r>
        <w:rPr>
          <w:rFonts w:eastAsia="Calibri"/>
        </w:rPr>
        <w:tab/>
        <w:t xml:space="preserve">Source:  </w:t>
      </w:r>
      <w:r w:rsidRPr="00C22D10">
        <w:rPr>
          <w:rFonts w:eastAsia="Calibri"/>
        </w:rPr>
        <w:t>WDSMP</w:t>
      </w:r>
      <w:r>
        <w:rPr>
          <w:rFonts w:eastAsia="Calibri"/>
        </w:rPr>
        <w:t>, 2011, Table 5.2</w:t>
      </w:r>
    </w:p>
    <w:p w:rsidR="00991FC5" w:rsidRPr="00793723" w:rsidRDefault="00991FC5" w:rsidP="00991FC5">
      <w:pPr>
        <w:pStyle w:val="Heading4"/>
      </w:pPr>
      <w:r w:rsidRPr="00793723">
        <w:t>Hydrogeology</w:t>
      </w:r>
    </w:p>
    <w:p w:rsidR="00991FC5" w:rsidRDefault="00991FC5" w:rsidP="00991FC5">
      <w:r w:rsidRPr="00793723">
        <w:t xml:space="preserve">The following discussion of the hydrogeology associated with the City’s groundwater supply was derived from the 2008 </w:t>
      </w:r>
      <w:r w:rsidRPr="00793723">
        <w:rPr>
          <w:i/>
        </w:rPr>
        <w:t>City of Cotati Groundwater Supply Assessment</w:t>
      </w:r>
      <w:r w:rsidRPr="00793723">
        <w:t xml:space="preserve"> (</w:t>
      </w:r>
      <w:proofErr w:type="spellStart"/>
      <w:r w:rsidRPr="00793723">
        <w:t>Luhdorff</w:t>
      </w:r>
      <w:proofErr w:type="spellEnd"/>
      <w:r w:rsidRPr="00793723">
        <w:t xml:space="preserve"> and </w:t>
      </w:r>
      <w:proofErr w:type="spellStart"/>
      <w:r w:rsidRPr="00793723">
        <w:t>Scalmanini</w:t>
      </w:r>
      <w:proofErr w:type="spellEnd"/>
      <w:r w:rsidRPr="00793723">
        <w:t>).</w:t>
      </w:r>
      <w:r>
        <w:t xml:space="preserve">  </w:t>
      </w:r>
    </w:p>
    <w:p w:rsidR="00991FC5" w:rsidRDefault="00991FC5" w:rsidP="00991FC5">
      <w:pPr>
        <w:rPr>
          <w:rFonts w:eastAsia="Calibri"/>
        </w:rPr>
      </w:pPr>
      <w:r>
        <w:rPr>
          <w:rFonts w:eastAsia="Calibri"/>
        </w:rPr>
        <w:t xml:space="preserve">The City is located in the southern portion of the Santa Rosa Plain (SRP) </w:t>
      </w:r>
      <w:proofErr w:type="spellStart"/>
      <w:r>
        <w:rPr>
          <w:rFonts w:eastAsia="Calibri"/>
        </w:rPr>
        <w:t>Subbasin</w:t>
      </w:r>
      <w:proofErr w:type="spellEnd"/>
      <w:r>
        <w:rPr>
          <w:rFonts w:eastAsia="Calibri"/>
        </w:rPr>
        <w:t xml:space="preserve">, which is one of three </w:t>
      </w:r>
      <w:proofErr w:type="spellStart"/>
      <w:r>
        <w:rPr>
          <w:rFonts w:eastAsia="Calibri"/>
        </w:rPr>
        <w:t>subbasins</w:t>
      </w:r>
      <w:proofErr w:type="spellEnd"/>
      <w:r>
        <w:rPr>
          <w:rFonts w:eastAsia="Calibri"/>
        </w:rPr>
        <w:t xml:space="preserve"> that comprise the Santa Rosa Valley (SRV) Groundwater Basin. The SRV Groundwater Basin drains to the northwest toward the Russian River and then to the Pacific Ocean. The SRP </w:t>
      </w:r>
      <w:proofErr w:type="spellStart"/>
      <w:r>
        <w:rPr>
          <w:rFonts w:eastAsia="Calibri"/>
        </w:rPr>
        <w:t>Subbasin</w:t>
      </w:r>
      <w:proofErr w:type="spellEnd"/>
      <w:r>
        <w:rPr>
          <w:rFonts w:eastAsia="Calibri"/>
        </w:rPr>
        <w:t xml:space="preserve"> extends from just south of the City limits to the Russian River plain (south of Healdsburg). The City uses groundwater pumped from the SRP </w:t>
      </w:r>
      <w:proofErr w:type="spellStart"/>
      <w:r>
        <w:rPr>
          <w:rFonts w:eastAsia="Calibri"/>
        </w:rPr>
        <w:t>Subbasin</w:t>
      </w:r>
      <w:proofErr w:type="spellEnd"/>
      <w:r>
        <w:rPr>
          <w:rFonts w:eastAsia="Calibri"/>
        </w:rPr>
        <w:t xml:space="preserve"> for a portion of its water supply.</w:t>
      </w:r>
    </w:p>
    <w:p w:rsidR="00991FC5" w:rsidRDefault="00991FC5" w:rsidP="00991FC5">
      <w:pPr>
        <w:rPr>
          <w:rFonts w:eastAsia="Calibri"/>
        </w:rPr>
      </w:pPr>
      <w:r>
        <w:rPr>
          <w:rFonts w:eastAsia="Calibri"/>
        </w:rPr>
        <w:t xml:space="preserve">The SRV Groundwater Basin is in the northwest trending structural province of the Coast Ranges and contains a number of mapped folds and faults. The valley is formed by the Windsor syncline and is bounded by the Rodgers Creek fault on the east and the Meacham Hill and </w:t>
      </w:r>
      <w:proofErr w:type="spellStart"/>
      <w:r>
        <w:rPr>
          <w:rFonts w:eastAsia="Calibri"/>
        </w:rPr>
        <w:t>Tolay</w:t>
      </w:r>
      <w:proofErr w:type="spellEnd"/>
      <w:r>
        <w:rPr>
          <w:rFonts w:eastAsia="Calibri"/>
        </w:rPr>
        <w:t xml:space="preserve"> faults on the west. Several buried faults have been mapped within the valley, most notably the Sebastopol fault, which extends from the City of Cotati northwest to the City of Sebastopol, and the Petaluma Valley fault, which is mapped by some geologists as extending as far north as Cotati. The SRP </w:t>
      </w:r>
      <w:proofErr w:type="spellStart"/>
      <w:r>
        <w:rPr>
          <w:rFonts w:eastAsia="Calibri"/>
        </w:rPr>
        <w:t>Subbasin</w:t>
      </w:r>
      <w:proofErr w:type="spellEnd"/>
      <w:r>
        <w:rPr>
          <w:rFonts w:eastAsia="Calibri"/>
        </w:rPr>
        <w:t xml:space="preserve"> contains three primary water bearing units: the Wilson Grove Formation, Quaternary </w:t>
      </w:r>
      <w:r>
        <w:rPr>
          <w:rFonts w:eastAsia="Calibri"/>
        </w:rPr>
        <w:lastRenderedPageBreak/>
        <w:t>alluvial fan deposits, and Quaternary alluvium. City wells located east of the Sebastopol fault appear to be completed in the Quaternary alluvial fan deposits, and wells located west of the fault may be completed in older Petaluma Formation deposits.</w:t>
      </w:r>
    </w:p>
    <w:p w:rsidR="00991FC5" w:rsidRDefault="00991FC5" w:rsidP="00991FC5">
      <w:pPr>
        <w:rPr>
          <w:rFonts w:eastAsia="Calibri"/>
        </w:rPr>
      </w:pPr>
      <w:r>
        <w:rPr>
          <w:rFonts w:eastAsia="Calibri"/>
        </w:rPr>
        <w:t xml:space="preserve">DWR investigated the hydraulic properties of the Sebastopol fault but was unable to find clear evidence that the fault acts as a barrier to groundwater flow. An independent analysis done to support the 2008 Groundwater Supply Assessment (GSA) appeared to confirm the DWR investigation, since water level hydrographs of the three City wells show similar trends to nearby Rohnert Park wells even though some of these are on opposite sides of the mapped location of the fault. Water levels in all of the City wells are influenced by Rohnert Park </w:t>
      </w:r>
      <w:proofErr w:type="spellStart"/>
      <w:r>
        <w:rPr>
          <w:rFonts w:eastAsia="Calibri"/>
        </w:rPr>
        <w:t>pumpage</w:t>
      </w:r>
      <w:proofErr w:type="spellEnd"/>
      <w:r>
        <w:rPr>
          <w:rFonts w:eastAsia="Calibri"/>
        </w:rPr>
        <w:t>, which also suggests that the Sebastopol fault does not act as a significant barrier to groundwater flow in the Cotati area.</w:t>
      </w:r>
    </w:p>
    <w:p w:rsidR="00991FC5" w:rsidRDefault="00991FC5" w:rsidP="00991FC5">
      <w:pPr>
        <w:rPr>
          <w:rFonts w:eastAsia="Calibri"/>
        </w:rPr>
      </w:pPr>
      <w:r>
        <w:rPr>
          <w:rFonts w:eastAsia="Calibri"/>
        </w:rPr>
        <w:t xml:space="preserve">In the southern SRP </w:t>
      </w:r>
      <w:proofErr w:type="spellStart"/>
      <w:r>
        <w:rPr>
          <w:rFonts w:eastAsia="Calibri"/>
        </w:rPr>
        <w:t>Subbasin</w:t>
      </w:r>
      <w:proofErr w:type="spellEnd"/>
      <w:r>
        <w:rPr>
          <w:rFonts w:eastAsia="Calibri"/>
        </w:rPr>
        <w:t xml:space="preserve">, groundwater is produced largely from the upper 800 feet of the sedimentary deposits. Geologic cross sections and well profiles provide a generalized depiction of the subsurface geologic conditions that was used to divide the aquifer into depth zones to facilitate the analysis of groundwater levels. These zones do not represent laterally extensive aquifers but are strictly depth based for purposes of evaluating </w:t>
      </w:r>
      <w:proofErr w:type="spellStart"/>
      <w:r>
        <w:rPr>
          <w:rFonts w:eastAsia="Calibri"/>
        </w:rPr>
        <w:t>hydrogeologic</w:t>
      </w:r>
      <w:proofErr w:type="spellEnd"/>
      <w:r>
        <w:rPr>
          <w:rFonts w:eastAsia="Calibri"/>
        </w:rPr>
        <w:t xml:space="preserve"> conditions. These designations are based on an approximate correlation to the geologic units and on water well completion depths. The vertical zones of the aquifer system were designated:</w:t>
      </w:r>
    </w:p>
    <w:p w:rsidR="00991FC5" w:rsidRDefault="00991FC5" w:rsidP="00991FC5">
      <w:pPr>
        <w:numPr>
          <w:ilvl w:val="0"/>
          <w:numId w:val="8"/>
        </w:numPr>
        <w:spacing w:line="240" w:lineRule="auto"/>
        <w:rPr>
          <w:rFonts w:eastAsia="Calibri"/>
        </w:rPr>
      </w:pPr>
      <w:r>
        <w:rPr>
          <w:rFonts w:eastAsia="Calibri"/>
        </w:rPr>
        <w:t>Shallow (0 to 200 foot depth),</w:t>
      </w:r>
    </w:p>
    <w:p w:rsidR="00991FC5" w:rsidRDefault="00991FC5" w:rsidP="00991FC5">
      <w:pPr>
        <w:numPr>
          <w:ilvl w:val="0"/>
          <w:numId w:val="8"/>
        </w:numPr>
        <w:spacing w:line="240" w:lineRule="auto"/>
        <w:rPr>
          <w:rFonts w:eastAsia="Calibri"/>
        </w:rPr>
      </w:pPr>
      <w:r>
        <w:rPr>
          <w:rFonts w:eastAsia="Calibri"/>
        </w:rPr>
        <w:t>Intermediate (200 to 600 foot depth),</w:t>
      </w:r>
    </w:p>
    <w:p w:rsidR="00991FC5" w:rsidRDefault="00991FC5" w:rsidP="00991FC5">
      <w:pPr>
        <w:numPr>
          <w:ilvl w:val="0"/>
          <w:numId w:val="8"/>
        </w:numPr>
        <w:spacing w:line="240" w:lineRule="auto"/>
        <w:rPr>
          <w:rFonts w:eastAsia="Calibri"/>
        </w:rPr>
      </w:pPr>
      <w:r>
        <w:rPr>
          <w:rFonts w:eastAsia="Calibri"/>
        </w:rPr>
        <w:t>Deep (600 to 800 foot depth), and</w:t>
      </w:r>
    </w:p>
    <w:p w:rsidR="00991FC5" w:rsidRDefault="00991FC5" w:rsidP="00991FC5">
      <w:pPr>
        <w:numPr>
          <w:ilvl w:val="0"/>
          <w:numId w:val="8"/>
        </w:numPr>
        <w:spacing w:line="240" w:lineRule="auto"/>
        <w:rPr>
          <w:rFonts w:eastAsia="Calibri"/>
        </w:rPr>
      </w:pPr>
      <w:r>
        <w:rPr>
          <w:rFonts w:eastAsia="Calibri"/>
        </w:rPr>
        <w:t>Lower (depths greater than 800 feet).</w:t>
      </w:r>
    </w:p>
    <w:p w:rsidR="00991FC5" w:rsidRPr="00793723" w:rsidRDefault="00991FC5" w:rsidP="00991FC5">
      <w:pPr>
        <w:rPr>
          <w:rFonts w:eastAsia="Calibri"/>
        </w:rPr>
      </w:pPr>
      <w:r>
        <w:rPr>
          <w:rFonts w:eastAsia="Calibri"/>
        </w:rPr>
        <w:t xml:space="preserve">Most municipal and agricultural wells in the southern SRP </w:t>
      </w:r>
      <w:proofErr w:type="spellStart"/>
      <w:r>
        <w:rPr>
          <w:rFonts w:eastAsia="Calibri"/>
        </w:rPr>
        <w:t>Subbasin</w:t>
      </w:r>
      <w:proofErr w:type="spellEnd"/>
      <w:r>
        <w:rPr>
          <w:rFonts w:eastAsia="Calibri"/>
        </w:rPr>
        <w:t xml:space="preserve"> are completed primarily in the intermediate zone. This includes the City’s three municipal wells, although two City wells (1A and 3) are also completed partially in the deep zone.</w:t>
      </w:r>
    </w:p>
    <w:p w:rsidR="00991FC5" w:rsidRPr="00533B99" w:rsidRDefault="00991FC5" w:rsidP="00991FC5">
      <w:pPr>
        <w:pStyle w:val="Heading4"/>
      </w:pPr>
      <w:r w:rsidRPr="00533B99">
        <w:t xml:space="preserve">Groundwater </w:t>
      </w:r>
      <w:proofErr w:type="spellStart"/>
      <w:r w:rsidRPr="00533B99">
        <w:t>Pumpage</w:t>
      </w:r>
      <w:proofErr w:type="spellEnd"/>
    </w:p>
    <w:p w:rsidR="00991FC5" w:rsidRDefault="00991FC5" w:rsidP="00991FC5">
      <w:r w:rsidRPr="00793723">
        <w:t xml:space="preserve">The following discussion of the </w:t>
      </w:r>
      <w:r>
        <w:t xml:space="preserve">groundwater </w:t>
      </w:r>
      <w:proofErr w:type="spellStart"/>
      <w:r>
        <w:t>pumpage</w:t>
      </w:r>
      <w:proofErr w:type="spellEnd"/>
      <w:r w:rsidRPr="00793723">
        <w:t xml:space="preserve"> associated with the City’s groundwater supply was derived from the 2008 </w:t>
      </w:r>
      <w:r w:rsidRPr="00793723">
        <w:rPr>
          <w:i/>
        </w:rPr>
        <w:t>City of Cotati Groundwater Supply Assessment</w:t>
      </w:r>
      <w:r w:rsidRPr="00793723">
        <w:t xml:space="preserve"> (</w:t>
      </w:r>
      <w:proofErr w:type="spellStart"/>
      <w:r w:rsidRPr="00793723">
        <w:t>Luhdorff</w:t>
      </w:r>
      <w:proofErr w:type="spellEnd"/>
      <w:r w:rsidRPr="00793723">
        <w:t xml:space="preserve"> and </w:t>
      </w:r>
      <w:proofErr w:type="spellStart"/>
      <w:r w:rsidRPr="00793723">
        <w:t>Scalmanini</w:t>
      </w:r>
      <w:proofErr w:type="spellEnd"/>
      <w:r w:rsidRPr="00793723">
        <w:t>)</w:t>
      </w:r>
      <w:r w:rsidR="005D7E08">
        <w:t xml:space="preserve"> and the 2010 Cotati Urban Water Management Plan (</w:t>
      </w:r>
      <w:proofErr w:type="spellStart"/>
      <w:r w:rsidR="005D7E08">
        <w:t>Carollo</w:t>
      </w:r>
      <w:proofErr w:type="spellEnd"/>
      <w:r w:rsidR="005D7E08">
        <w:t>, 2011)</w:t>
      </w:r>
      <w:r w:rsidRPr="00793723">
        <w:t>.</w:t>
      </w:r>
      <w:r>
        <w:t xml:space="preserve">  </w:t>
      </w:r>
    </w:p>
    <w:p w:rsidR="00991FC5" w:rsidRDefault="00991FC5" w:rsidP="00991FC5">
      <w:pPr>
        <w:rPr>
          <w:rFonts w:eastAsia="Calibri"/>
        </w:rPr>
      </w:pPr>
      <w:r>
        <w:rPr>
          <w:rFonts w:eastAsia="Calibri"/>
        </w:rPr>
        <w:t xml:space="preserve">The City’s total annual </w:t>
      </w:r>
      <w:proofErr w:type="spellStart"/>
      <w:r>
        <w:rPr>
          <w:rFonts w:eastAsia="Calibri"/>
        </w:rPr>
        <w:t>pumpage</w:t>
      </w:r>
      <w:proofErr w:type="spellEnd"/>
      <w:r>
        <w:rPr>
          <w:rFonts w:eastAsia="Calibri"/>
        </w:rPr>
        <w:t xml:space="preserve"> increased from 41 AF in 1974 to 684 AF in 1988 and has generally decreased since 1988 as SCWA surface water deliveries increased. The City’s annual municipal </w:t>
      </w:r>
      <w:proofErr w:type="spellStart"/>
      <w:r>
        <w:rPr>
          <w:rFonts w:eastAsia="Calibri"/>
        </w:rPr>
        <w:t>pumpage</w:t>
      </w:r>
      <w:proofErr w:type="spellEnd"/>
      <w:r>
        <w:rPr>
          <w:rFonts w:eastAsia="Calibri"/>
        </w:rPr>
        <w:t xml:space="preserve"> averaged 412 AF during 1990-2003. Much greater decreases have occurred since 2003, and the 2004-2006 </w:t>
      </w:r>
      <w:proofErr w:type="spellStart"/>
      <w:r>
        <w:rPr>
          <w:rFonts w:eastAsia="Calibri"/>
        </w:rPr>
        <w:t>pumpage</w:t>
      </w:r>
      <w:proofErr w:type="spellEnd"/>
      <w:r>
        <w:rPr>
          <w:rFonts w:eastAsia="Calibri"/>
        </w:rPr>
        <w:t xml:space="preserve"> averaged only 78 AF. Decreased </w:t>
      </w:r>
      <w:proofErr w:type="spellStart"/>
      <w:r>
        <w:rPr>
          <w:rFonts w:eastAsia="Calibri"/>
        </w:rPr>
        <w:t>pumpage</w:t>
      </w:r>
      <w:proofErr w:type="spellEnd"/>
      <w:r>
        <w:rPr>
          <w:rFonts w:eastAsia="Calibri"/>
        </w:rPr>
        <w:t xml:space="preserve"> in recent years is the result of the City’s water resources strategy, which is to rely primarily on SCWA water supplies and to utilize groundwater only as needed to supplement those supplies.  </w:t>
      </w:r>
      <w:r w:rsidR="005D7E08">
        <w:rPr>
          <w:rFonts w:eastAsia="Calibri"/>
        </w:rPr>
        <w:t>In 2010 the City pumped 295 AF of water</w:t>
      </w:r>
      <w:r w:rsidR="001026BD">
        <w:rPr>
          <w:rFonts w:eastAsia="Calibri"/>
        </w:rPr>
        <w:t xml:space="preserve">.  As described in the 2010 UWMP, groundwater pumping is projected to increase to 530 AFY on an annual basis between 2015 and 2035.  </w:t>
      </w:r>
    </w:p>
    <w:p w:rsidR="00991FC5" w:rsidRDefault="00991FC5" w:rsidP="00991FC5">
      <w:pPr>
        <w:rPr>
          <w:rFonts w:eastAsia="Calibri"/>
        </w:rPr>
      </w:pPr>
      <w:r>
        <w:rPr>
          <w:rFonts w:eastAsia="Calibri"/>
        </w:rPr>
        <w:lastRenderedPageBreak/>
        <w:t xml:space="preserve">Non-municipal </w:t>
      </w:r>
      <w:proofErr w:type="spellStart"/>
      <w:r>
        <w:rPr>
          <w:rFonts w:eastAsia="Calibri"/>
        </w:rPr>
        <w:t>pumpage</w:t>
      </w:r>
      <w:proofErr w:type="spellEnd"/>
      <w:r>
        <w:rPr>
          <w:rFonts w:eastAsia="Calibri"/>
        </w:rPr>
        <w:t xml:space="preserve"> for the area located between the City limits and the urban growth boundary (UGB) is unmetered, and current annual </w:t>
      </w:r>
      <w:proofErr w:type="spellStart"/>
      <w:r>
        <w:rPr>
          <w:rFonts w:eastAsia="Calibri"/>
        </w:rPr>
        <w:t>pumpage</w:t>
      </w:r>
      <w:proofErr w:type="spellEnd"/>
      <w:r>
        <w:rPr>
          <w:rFonts w:eastAsia="Calibri"/>
        </w:rPr>
        <w:t xml:space="preserve"> in this area was estimated for the GSA study to be about 463 AF. This includes 162 AF for rural residential use, 35 AF for commercial use, and 266 AF for agricultural use. There is also an estimated 17 AF of non-municipal </w:t>
      </w:r>
      <w:proofErr w:type="spellStart"/>
      <w:r>
        <w:rPr>
          <w:rFonts w:eastAsia="Calibri"/>
        </w:rPr>
        <w:t>pumpage</w:t>
      </w:r>
      <w:proofErr w:type="spellEnd"/>
      <w:r>
        <w:rPr>
          <w:rFonts w:eastAsia="Calibri"/>
        </w:rPr>
        <w:t xml:space="preserve"> that occurs within the City limits. The total annual non-municipal </w:t>
      </w:r>
      <w:proofErr w:type="spellStart"/>
      <w:r>
        <w:rPr>
          <w:rFonts w:eastAsia="Calibri"/>
        </w:rPr>
        <w:t>pumpage</w:t>
      </w:r>
      <w:proofErr w:type="spellEnd"/>
      <w:r>
        <w:rPr>
          <w:rFonts w:eastAsia="Calibri"/>
        </w:rPr>
        <w:t xml:space="preserve"> (about 480 AF) is slightly more that the average municipal </w:t>
      </w:r>
      <w:proofErr w:type="spellStart"/>
      <w:r>
        <w:rPr>
          <w:rFonts w:eastAsia="Calibri"/>
        </w:rPr>
        <w:t>pumpage</w:t>
      </w:r>
      <w:proofErr w:type="spellEnd"/>
      <w:r>
        <w:rPr>
          <w:rFonts w:eastAsia="Calibri"/>
        </w:rPr>
        <w:t xml:space="preserve"> during 1990-2003 and considerably more than the average municipal </w:t>
      </w:r>
      <w:proofErr w:type="spellStart"/>
      <w:r>
        <w:rPr>
          <w:rFonts w:eastAsia="Calibri"/>
        </w:rPr>
        <w:t>pumpage</w:t>
      </w:r>
      <w:proofErr w:type="spellEnd"/>
      <w:r>
        <w:rPr>
          <w:rFonts w:eastAsia="Calibri"/>
        </w:rPr>
        <w:t xml:space="preserve"> during 2004-2006 (78 AF). If historical non-municipal </w:t>
      </w:r>
      <w:proofErr w:type="spellStart"/>
      <w:r>
        <w:rPr>
          <w:rFonts w:eastAsia="Calibri"/>
        </w:rPr>
        <w:t>pumpage</w:t>
      </w:r>
      <w:proofErr w:type="spellEnd"/>
      <w:r>
        <w:rPr>
          <w:rFonts w:eastAsia="Calibri"/>
        </w:rPr>
        <w:t xml:space="preserve"> is assumed to be similar to current levels, the total </w:t>
      </w:r>
      <w:proofErr w:type="spellStart"/>
      <w:r>
        <w:rPr>
          <w:rFonts w:eastAsia="Calibri"/>
        </w:rPr>
        <w:t>pumpage</w:t>
      </w:r>
      <w:proofErr w:type="spellEnd"/>
      <w:r>
        <w:rPr>
          <w:rFonts w:eastAsia="Calibri"/>
        </w:rPr>
        <w:t xml:space="preserve"> in the City’s UGB averaged about 892 AF for the 1990-2003 period. Divided by the area of the UGB, this represents an annual “unit” </w:t>
      </w:r>
      <w:proofErr w:type="spellStart"/>
      <w:r>
        <w:rPr>
          <w:rFonts w:eastAsia="Calibri"/>
        </w:rPr>
        <w:t>pumpage</w:t>
      </w:r>
      <w:proofErr w:type="spellEnd"/>
      <w:r>
        <w:rPr>
          <w:rFonts w:eastAsia="Calibri"/>
        </w:rPr>
        <w:t xml:space="preserve"> of 0.35 AF/acre.</w:t>
      </w:r>
    </w:p>
    <w:p w:rsidR="00991FC5" w:rsidRDefault="00991FC5" w:rsidP="00991FC5">
      <w:pPr>
        <w:rPr>
          <w:rFonts w:eastAsia="Calibri"/>
        </w:rPr>
      </w:pPr>
      <w:r>
        <w:rPr>
          <w:rFonts w:eastAsia="Calibri"/>
        </w:rPr>
        <w:t xml:space="preserve">In addition to the City, there are three other municipal pumpers in the southern portion of the SRP </w:t>
      </w:r>
      <w:proofErr w:type="spellStart"/>
      <w:r>
        <w:rPr>
          <w:rFonts w:eastAsia="Calibri"/>
        </w:rPr>
        <w:t>Subbasin</w:t>
      </w:r>
      <w:proofErr w:type="spellEnd"/>
      <w:r>
        <w:rPr>
          <w:rFonts w:eastAsia="Calibri"/>
        </w:rPr>
        <w:t xml:space="preserve">. These are the City of Rohnert Park, Sonoma State University, and SCWA. Rohnert Park is the largest groundwater producer in this area, and its annual </w:t>
      </w:r>
      <w:proofErr w:type="spellStart"/>
      <w:r>
        <w:rPr>
          <w:rFonts w:eastAsia="Calibri"/>
        </w:rPr>
        <w:t>pumpage</w:t>
      </w:r>
      <w:proofErr w:type="spellEnd"/>
      <w:r>
        <w:rPr>
          <w:rFonts w:eastAsia="Calibri"/>
        </w:rPr>
        <w:t xml:space="preserve"> increased from 907 AF in 1970 to a high of 5,487 AF in 1995. Since 1995, Rohnert Park has decreased its reliance on groundwater due to a shift toward greater use of SCWA deliveries. As a result, Rohnert Park’s annual </w:t>
      </w:r>
      <w:proofErr w:type="spellStart"/>
      <w:r>
        <w:rPr>
          <w:rFonts w:eastAsia="Calibri"/>
        </w:rPr>
        <w:t>pumpage</w:t>
      </w:r>
      <w:proofErr w:type="spellEnd"/>
      <w:r>
        <w:rPr>
          <w:rFonts w:eastAsia="Calibri"/>
        </w:rPr>
        <w:t xml:space="preserve"> decreased to 846 AF in 2005 and 348 AF in 2006.</w:t>
      </w:r>
    </w:p>
    <w:p w:rsidR="00991FC5" w:rsidRPr="00AB00E9" w:rsidRDefault="00991FC5" w:rsidP="00991FC5">
      <w:pPr>
        <w:rPr>
          <w:rFonts w:eastAsia="Calibri"/>
        </w:rPr>
      </w:pPr>
      <w:r>
        <w:rPr>
          <w:rFonts w:eastAsia="Calibri"/>
        </w:rPr>
        <w:t xml:space="preserve">Historical </w:t>
      </w:r>
      <w:proofErr w:type="spellStart"/>
      <w:r>
        <w:rPr>
          <w:rFonts w:eastAsia="Calibri"/>
        </w:rPr>
        <w:t>pumpage</w:t>
      </w:r>
      <w:proofErr w:type="spellEnd"/>
      <w:r>
        <w:rPr>
          <w:rFonts w:eastAsia="Calibri"/>
        </w:rPr>
        <w:t xml:space="preserve"> estimates in the SRP </w:t>
      </w:r>
      <w:proofErr w:type="spellStart"/>
      <w:r>
        <w:rPr>
          <w:rFonts w:eastAsia="Calibri"/>
        </w:rPr>
        <w:t>Subbasin</w:t>
      </w:r>
      <w:proofErr w:type="spellEnd"/>
      <w:r>
        <w:rPr>
          <w:rFonts w:eastAsia="Calibri"/>
        </w:rPr>
        <w:t xml:space="preserve"> were made by DWR for its 1987 study, by Todd Engineers (Todd, 2004) for the Sonoma County Canon Manor West Environmental Impact Report, and by </w:t>
      </w:r>
      <w:proofErr w:type="spellStart"/>
      <w:r>
        <w:rPr>
          <w:rFonts w:eastAsia="Calibri"/>
        </w:rPr>
        <w:t>Winzler</w:t>
      </w:r>
      <w:proofErr w:type="spellEnd"/>
      <w:r>
        <w:rPr>
          <w:rFonts w:eastAsia="Calibri"/>
        </w:rPr>
        <w:t xml:space="preserve"> &amp; Kelly (W&amp;K, 2007) for the Rohnert Park Urban Water Management Plan. The estimated unit </w:t>
      </w:r>
      <w:proofErr w:type="spellStart"/>
      <w:r>
        <w:rPr>
          <w:rFonts w:eastAsia="Calibri"/>
        </w:rPr>
        <w:t>pumpage</w:t>
      </w:r>
      <w:proofErr w:type="spellEnd"/>
      <w:r>
        <w:rPr>
          <w:rFonts w:eastAsia="Calibri"/>
        </w:rPr>
        <w:t xml:space="preserve"> was 0.32 to 0.36 AF/acre based on the DWR (1987) study that used an 81,000-acre study area similar to the boundaries of the SRP </w:t>
      </w:r>
      <w:proofErr w:type="spellStart"/>
      <w:r>
        <w:rPr>
          <w:rFonts w:eastAsia="Calibri"/>
        </w:rPr>
        <w:t>Subbasin</w:t>
      </w:r>
      <w:proofErr w:type="spellEnd"/>
      <w:r>
        <w:rPr>
          <w:rFonts w:eastAsia="Calibri"/>
        </w:rPr>
        <w:t xml:space="preserve">. The Todd (2004) and W&amp;K (2007) used similar study areas of 25,000 to 25,500 acres based on the upper Laguna watershed boundaries. These study areas encompassed the southern portion of the SRP </w:t>
      </w:r>
      <w:proofErr w:type="spellStart"/>
      <w:r>
        <w:rPr>
          <w:rFonts w:eastAsia="Calibri"/>
        </w:rPr>
        <w:t>Subbasin</w:t>
      </w:r>
      <w:proofErr w:type="spellEnd"/>
      <w:r>
        <w:rPr>
          <w:rFonts w:eastAsia="Calibri"/>
        </w:rPr>
        <w:t xml:space="preserve">, including the Cities of Cotati and Rohnert Park. Estimated average annual </w:t>
      </w:r>
      <w:proofErr w:type="spellStart"/>
      <w:r>
        <w:rPr>
          <w:rFonts w:eastAsia="Calibri"/>
        </w:rPr>
        <w:t>pumpage</w:t>
      </w:r>
      <w:proofErr w:type="spellEnd"/>
      <w:r>
        <w:rPr>
          <w:rFonts w:eastAsia="Calibri"/>
        </w:rPr>
        <w:t xml:space="preserve"> for the Todd (2004) study was about 8,500 AF or 0.33 AF/acre during 1986-2001. The estimated average annual </w:t>
      </w:r>
      <w:proofErr w:type="spellStart"/>
      <w:r>
        <w:rPr>
          <w:rFonts w:eastAsia="Calibri"/>
        </w:rPr>
        <w:t>pumpage</w:t>
      </w:r>
      <w:proofErr w:type="spellEnd"/>
      <w:r>
        <w:rPr>
          <w:rFonts w:eastAsia="Calibri"/>
        </w:rPr>
        <w:t xml:space="preserve"> for the W&amp;K (2007) study area during 1990-1997 was about 8,700 AF or 0.35 AF/acre. These unit </w:t>
      </w:r>
      <w:proofErr w:type="spellStart"/>
      <w:r>
        <w:rPr>
          <w:rFonts w:eastAsia="Calibri"/>
        </w:rPr>
        <w:t>pumpage</w:t>
      </w:r>
      <w:proofErr w:type="spellEnd"/>
      <w:r>
        <w:rPr>
          <w:rFonts w:eastAsia="Calibri"/>
        </w:rPr>
        <w:t xml:space="preserve"> values are very similar to the unit </w:t>
      </w:r>
      <w:proofErr w:type="spellStart"/>
      <w:r>
        <w:rPr>
          <w:rFonts w:eastAsia="Calibri"/>
        </w:rPr>
        <w:t>pumpage</w:t>
      </w:r>
      <w:proofErr w:type="spellEnd"/>
      <w:r>
        <w:rPr>
          <w:rFonts w:eastAsia="Calibri"/>
        </w:rPr>
        <w:t xml:space="preserve"> estimated for the City’s UGB. </w:t>
      </w:r>
    </w:p>
    <w:p w:rsidR="00991FC5" w:rsidRDefault="00991FC5" w:rsidP="00991FC5">
      <w:pPr>
        <w:pStyle w:val="Heading4"/>
      </w:pPr>
      <w:r>
        <w:t>Groundwater Conditions</w:t>
      </w:r>
    </w:p>
    <w:p w:rsidR="00991FC5" w:rsidRPr="000F29C7" w:rsidRDefault="00591F37" w:rsidP="00991FC5">
      <w:pPr>
        <w:rPr>
          <w:rFonts w:eastAsia="Calibri"/>
        </w:rPr>
      </w:pPr>
      <w:r w:rsidRPr="00591F37">
        <w:rPr>
          <w:rFonts w:eastAsia="Calibri"/>
        </w:rPr>
        <w:t>The U.S. Geological Survey, in cooperation with the Sonoma County Water Agency and other stakeholders in the area (cities of Cotati, Rohnert Park, Santa Rosa, and Sebastopol, town of Windsor, Cal-American Water Company, and the County of Sonoma), over a seven-year period, studied the major groundwater basins of Sonoma County, characterized the hydrology of the Santa Rosa Plain (SRP), and developed tools to better understand and manage the groundwater system. In 2013 the USGS Study: Hydrologic and Geochemical Characterization of the Santa Rosa Plan Watershed, Sonoma County, California (USGS Study) was released. The objectives of the study were: (1) to develop an updated assessment of the hydrogeology and geochemistry of the Santa Rosa Plain; (2) to develop a fully coupled surface-water and groundwater-flow model for the Santa Rosa Plain watershed; and (3) to evaluate the potential hydrologic effects of alterna</w:t>
      </w:r>
      <w:r w:rsidRPr="00591F37">
        <w:rPr>
          <w:rFonts w:eastAsia="Calibri"/>
        </w:rPr>
        <w:softHyphen/>
        <w:t>tive groundwater-management strategies for the basin. Additional studies are planned to address all objectives.</w:t>
      </w:r>
    </w:p>
    <w:p w:rsidR="00991FC5" w:rsidRPr="000F29C7" w:rsidRDefault="00591F37" w:rsidP="00991FC5">
      <w:pPr>
        <w:rPr>
          <w:rFonts w:eastAsia="Calibri"/>
        </w:rPr>
      </w:pPr>
      <w:r w:rsidRPr="00591F37">
        <w:rPr>
          <w:rFonts w:eastAsia="Calibri"/>
        </w:rPr>
        <w:lastRenderedPageBreak/>
        <w:t>The Study describes the surface-water and groundwater hydrology, hydrogeology, and water-quality char</w:t>
      </w:r>
      <w:r w:rsidRPr="00591F37">
        <w:rPr>
          <w:rFonts w:eastAsia="Calibri"/>
        </w:rPr>
        <w:softHyphen/>
        <w:t xml:space="preserve">acteristics of the Santa Rosa Plain watershed and also includes a conceptual model of the hydrologic system in support of the first objective. The Study determined that the basin is subdivided into two primary compartments termed the Windsor </w:t>
      </w:r>
      <w:proofErr w:type="spellStart"/>
      <w:r w:rsidRPr="00591F37">
        <w:rPr>
          <w:rFonts w:eastAsia="Calibri"/>
        </w:rPr>
        <w:t>subbasin</w:t>
      </w:r>
      <w:proofErr w:type="spellEnd"/>
      <w:r w:rsidRPr="00591F37">
        <w:rPr>
          <w:rFonts w:eastAsia="Calibri"/>
        </w:rPr>
        <w:t xml:space="preserve"> in the north and the Cotati </w:t>
      </w:r>
      <w:proofErr w:type="spellStart"/>
      <w:r w:rsidRPr="00591F37">
        <w:rPr>
          <w:rFonts w:eastAsia="Calibri"/>
        </w:rPr>
        <w:t>subbasin</w:t>
      </w:r>
      <w:proofErr w:type="spellEnd"/>
      <w:r w:rsidRPr="00591F37">
        <w:rPr>
          <w:rFonts w:eastAsia="Calibri"/>
        </w:rPr>
        <w:t xml:space="preserve"> in the south, which are separated by the Trenton fault.  These two areas represent the deepest parts of the basin and range from 6,000 to 10,000 feet deep. </w:t>
      </w:r>
    </w:p>
    <w:p w:rsidR="005D7E08" w:rsidRDefault="00591F37">
      <w:r w:rsidRPr="00591F37">
        <w:rPr>
          <w:rFonts w:eastAsia="Calibri"/>
        </w:rPr>
        <w:t xml:space="preserve">The 167,410-acre Santa Rosa Plain watershed includes the Santa Rosa Plain and Rincon Valley groundwater </w:t>
      </w:r>
      <w:proofErr w:type="spellStart"/>
      <w:r w:rsidRPr="00591F37">
        <w:rPr>
          <w:rFonts w:eastAsia="Calibri"/>
        </w:rPr>
        <w:t>subbasins</w:t>
      </w:r>
      <w:proofErr w:type="spellEnd"/>
      <w:r w:rsidRPr="00591F37">
        <w:rPr>
          <w:rFonts w:eastAsia="Calibri"/>
        </w:rPr>
        <w:t xml:space="preserve">, as well as parts of the Wilson Grove Formation Highlands groundwater basin, Kenwood Valley groundwater basin, Healdsburg area groundwater </w:t>
      </w:r>
      <w:proofErr w:type="spellStart"/>
      <w:r w:rsidRPr="00591F37">
        <w:rPr>
          <w:rFonts w:eastAsia="Calibri"/>
        </w:rPr>
        <w:t>subbasin</w:t>
      </w:r>
      <w:proofErr w:type="spellEnd"/>
      <w:r w:rsidRPr="00591F37">
        <w:rPr>
          <w:rFonts w:eastAsia="Calibri"/>
        </w:rPr>
        <w:t xml:space="preserve">, and Alexander Valley groundwater </w:t>
      </w:r>
      <w:proofErr w:type="spellStart"/>
      <w:r w:rsidRPr="00591F37">
        <w:rPr>
          <w:rFonts w:eastAsia="Calibri"/>
        </w:rPr>
        <w:t>subbasin</w:t>
      </w:r>
      <w:proofErr w:type="spellEnd"/>
      <w:r w:rsidRPr="00591F37">
        <w:rPr>
          <w:rFonts w:eastAsia="Calibri"/>
        </w:rPr>
        <w:t xml:space="preserve">.  The Santa Rosa Plain drains northwest toward the Russian River, and is thus part of the North Coast Hydrologic Region.  The groundwater system beneath the Santa Rosa Plain provides water to residents and municipal systems, irrigation water for agriculture, and </w:t>
      </w:r>
      <w:proofErr w:type="spellStart"/>
      <w:r w:rsidRPr="00591F37">
        <w:rPr>
          <w:rFonts w:eastAsia="Calibri"/>
        </w:rPr>
        <w:t>baseflow</w:t>
      </w:r>
      <w:proofErr w:type="spellEnd"/>
      <w:r w:rsidRPr="00591F37">
        <w:rPr>
          <w:rFonts w:eastAsia="Calibri"/>
        </w:rPr>
        <w:t xml:space="preserve"> to streams, surface water bodies and associated ecosystems.   An estimated 10,500 permitted water-supply wells are located within the Santa Rosa Plain.  </w:t>
      </w:r>
    </w:p>
    <w:p w:rsidR="005D7E08" w:rsidRDefault="00591F37">
      <w:r w:rsidRPr="00591F37">
        <w:rPr>
          <w:rFonts w:eastAsia="Calibri"/>
        </w:rPr>
        <w:t xml:space="preserve">It is a large and geologically complex, with multiple aquifers that exhibit wide variations in well yields and groundwater quality. In addition, the groundwater system is subdivided into several compartments that are separated by fault zones, including the Rodgers Creek Fault, the Sebastopol Fault, and the Trenton Fault. Groundwater flows through and is stored in sedimentary and volcanic formations, which include recent Alluvium/Glen Ellen, Wilson Grove, Petaluma, and the Sonoma </w:t>
      </w:r>
      <w:proofErr w:type="spellStart"/>
      <w:r w:rsidRPr="00591F37">
        <w:rPr>
          <w:rFonts w:eastAsia="Calibri"/>
        </w:rPr>
        <w:t>Volcanics</w:t>
      </w:r>
      <w:proofErr w:type="spellEnd"/>
      <w:r w:rsidRPr="00591F37">
        <w:rPr>
          <w:rFonts w:eastAsia="Calibri"/>
        </w:rPr>
        <w:t xml:space="preserve">. </w:t>
      </w:r>
    </w:p>
    <w:p w:rsidR="00991FC5" w:rsidRPr="000F29C7" w:rsidRDefault="00591F37" w:rsidP="00991FC5">
      <w:pPr>
        <w:rPr>
          <w:rFonts w:eastAsia="Calibri"/>
        </w:rPr>
      </w:pPr>
      <w:r w:rsidRPr="00591F37">
        <w:rPr>
          <w:rFonts w:eastAsia="Calibri"/>
        </w:rPr>
        <w:t xml:space="preserve">Important hydrologic characteristics of the Santa Rosa Plain watershed groundwater-flow system include those that determine the ability of the groundwater system to transmit water, to store and release water, and to allow for vertical passage of water between layers, as well as those that control the flow of water across geologic or hydrologic boundaries. The movement of infiltrated recharge through the saturated groundwater system is controlled by topography, aquifer and </w:t>
      </w:r>
      <w:proofErr w:type="spellStart"/>
      <w:r w:rsidRPr="00591F37">
        <w:rPr>
          <w:rFonts w:eastAsia="Calibri"/>
        </w:rPr>
        <w:t>aquitard</w:t>
      </w:r>
      <w:proofErr w:type="spellEnd"/>
      <w:r w:rsidRPr="00591F37">
        <w:rPr>
          <w:rFonts w:eastAsia="Calibri"/>
        </w:rPr>
        <w:t xml:space="preserve"> proper</w:t>
      </w:r>
      <w:r w:rsidRPr="00591F37">
        <w:rPr>
          <w:rFonts w:eastAsia="Calibri"/>
        </w:rPr>
        <w:softHyphen/>
        <w:t xml:space="preserve">ties, the magnitude of natural discharge, and pumping. Aquifer and </w:t>
      </w:r>
      <w:proofErr w:type="spellStart"/>
      <w:r w:rsidRPr="00591F37">
        <w:rPr>
          <w:rFonts w:eastAsia="Calibri"/>
        </w:rPr>
        <w:t>aquitard</w:t>
      </w:r>
      <w:proofErr w:type="spellEnd"/>
      <w:r w:rsidRPr="00591F37">
        <w:rPr>
          <w:rFonts w:eastAsia="Calibri"/>
        </w:rPr>
        <w:t xml:space="preserve"> properties depend on the type of sediments and rocks composing the </w:t>
      </w:r>
      <w:proofErr w:type="spellStart"/>
      <w:r w:rsidRPr="00591F37">
        <w:rPr>
          <w:rFonts w:eastAsia="Calibri"/>
        </w:rPr>
        <w:t>hydrogeologic</w:t>
      </w:r>
      <w:proofErr w:type="spellEnd"/>
      <w:r w:rsidRPr="00591F37">
        <w:rPr>
          <w:rFonts w:eastAsia="Calibri"/>
        </w:rPr>
        <w:t xml:space="preserve"> system.  Groundwater is contained in the pore spaces of the Quaternary alluvial materials and Tertiary sedimen</w:t>
      </w:r>
      <w:r w:rsidRPr="00591F37">
        <w:rPr>
          <w:rFonts w:eastAsia="Calibri"/>
        </w:rPr>
        <w:softHyphen/>
        <w:t xml:space="preserve">tary rocks, including the Glen Ellen Formation, the Wilson Grove Formation, the Petaluma Formation, and Sonoma </w:t>
      </w:r>
      <w:proofErr w:type="spellStart"/>
      <w:r w:rsidRPr="00591F37">
        <w:rPr>
          <w:rFonts w:eastAsia="Calibri"/>
        </w:rPr>
        <w:t>Volcanics</w:t>
      </w:r>
      <w:proofErr w:type="spellEnd"/>
      <w:r w:rsidRPr="00591F37">
        <w:rPr>
          <w:rFonts w:eastAsia="Calibri"/>
        </w:rPr>
        <w:t xml:space="preserve">. These units, although </w:t>
      </w:r>
      <w:proofErr w:type="spellStart"/>
      <w:r w:rsidRPr="00591F37">
        <w:rPr>
          <w:rFonts w:eastAsia="Calibri"/>
        </w:rPr>
        <w:t>lithologically</w:t>
      </w:r>
      <w:proofErr w:type="spellEnd"/>
      <w:r w:rsidRPr="00591F37">
        <w:rPr>
          <w:rFonts w:eastAsia="Calibri"/>
        </w:rPr>
        <w:t xml:space="preserve"> heteroge</w:t>
      </w:r>
      <w:r w:rsidRPr="00591F37">
        <w:rPr>
          <w:rFonts w:eastAsia="Calibri"/>
        </w:rPr>
        <w:softHyphen/>
        <w:t xml:space="preserve">neous, generally form a continuous body of saturated material. The most permeable formations are the Glen Ellen and Wilson Grove formations. The Petaluma Formation has low productivity but is widely distributed. </w:t>
      </w:r>
    </w:p>
    <w:p w:rsidR="005D7E08" w:rsidRDefault="00591F37">
      <w:r w:rsidRPr="00591F37">
        <w:rPr>
          <w:rFonts w:eastAsia="Calibri"/>
        </w:rPr>
        <w:t xml:space="preserve">Water-bearing strata is found only within the Cenozoic sedimentary formations, and not within Tertiary volcanic rocks, which are primarily the Sonoma </w:t>
      </w:r>
      <w:proofErr w:type="spellStart"/>
      <w:r w:rsidRPr="00591F37">
        <w:rPr>
          <w:rFonts w:eastAsia="Calibri"/>
        </w:rPr>
        <w:t>Volcanics</w:t>
      </w:r>
      <w:proofErr w:type="spellEnd"/>
      <w:r w:rsidRPr="00591F37">
        <w:rPr>
          <w:rFonts w:eastAsia="Calibri"/>
        </w:rPr>
        <w:t xml:space="preserve">. However, the volcanic rocks provide substantial quantities of water to wells on the valley floor and in the mountains along the eastern side of the valley. The groundwater-storage capacity of the SRP groundwater </w:t>
      </w:r>
      <w:proofErr w:type="spellStart"/>
      <w:r w:rsidRPr="00591F37">
        <w:rPr>
          <w:rFonts w:eastAsia="Calibri"/>
        </w:rPr>
        <w:t>subbasin</w:t>
      </w:r>
      <w:proofErr w:type="spellEnd"/>
      <w:r w:rsidRPr="00591F37">
        <w:rPr>
          <w:rFonts w:eastAsia="Calibri"/>
        </w:rPr>
        <w:t xml:space="preserve"> within the depth range of 10 to 200 feet is estimated to be about 950,000 acre feet. The storage capacity over an average thickness of 400 feet is estimated to be about 4,300,000 acre feet. Neither of these estimates includes the amount of groundwater contained in the Sonoma </w:t>
      </w:r>
      <w:proofErr w:type="spellStart"/>
      <w:r w:rsidRPr="00591F37">
        <w:rPr>
          <w:rFonts w:eastAsia="Calibri"/>
        </w:rPr>
        <w:t>Volcanics</w:t>
      </w:r>
      <w:proofErr w:type="spellEnd"/>
      <w:r w:rsidRPr="00591F37">
        <w:rPr>
          <w:rFonts w:eastAsia="Calibri"/>
        </w:rPr>
        <w:t xml:space="preserve">. The Sonoma </w:t>
      </w:r>
      <w:proofErr w:type="spellStart"/>
      <w:r w:rsidRPr="00591F37">
        <w:rPr>
          <w:rFonts w:eastAsia="Calibri"/>
        </w:rPr>
        <w:t>Volcanics</w:t>
      </w:r>
      <w:proofErr w:type="spellEnd"/>
      <w:r w:rsidRPr="00591F37">
        <w:rPr>
          <w:rFonts w:eastAsia="Calibri"/>
        </w:rPr>
        <w:t xml:space="preserve">, however, contain discontinuous aquifers that in some of the </w:t>
      </w:r>
      <w:r w:rsidRPr="00591F37">
        <w:rPr>
          <w:rFonts w:eastAsia="Calibri"/>
        </w:rPr>
        <w:lastRenderedPageBreak/>
        <w:t xml:space="preserve">more porous and permeable </w:t>
      </w:r>
      <w:proofErr w:type="spellStart"/>
      <w:r w:rsidRPr="00591F37">
        <w:rPr>
          <w:rFonts w:eastAsia="Calibri"/>
        </w:rPr>
        <w:t>lithologic</w:t>
      </w:r>
      <w:proofErr w:type="spellEnd"/>
      <w:r w:rsidRPr="00591F37">
        <w:rPr>
          <w:rFonts w:eastAsia="Calibri"/>
        </w:rPr>
        <w:t xml:space="preserve"> packages can yield several hundred to several thousand gallons of water per minute to wells. The sustainable yield of the basin is less than the storage capacity because of potential negative effects of withdrawing all groundwater in storage.</w:t>
      </w:r>
    </w:p>
    <w:p w:rsidR="005D7E08" w:rsidRDefault="00591F37">
      <w:r w:rsidRPr="00591F37">
        <w:rPr>
          <w:rFonts w:eastAsia="Calibri"/>
        </w:rPr>
        <w:t xml:space="preserve">Groundwater is primarily recharged through the infiltration of precipitation and through seepage from streambeds. Groundwater leaves the basin through wells, springs, evapotranspiration from </w:t>
      </w:r>
      <w:proofErr w:type="gramStart"/>
      <w:r w:rsidRPr="00591F37">
        <w:rPr>
          <w:rFonts w:eastAsia="Calibri"/>
        </w:rPr>
        <w:t>plants,</w:t>
      </w:r>
      <w:proofErr w:type="gramEnd"/>
      <w:r w:rsidRPr="00591F37">
        <w:rPr>
          <w:rFonts w:eastAsia="Calibri"/>
        </w:rPr>
        <w:t xml:space="preserve"> and as both subsurface outflow and seasonal groundwater contribution to </w:t>
      </w:r>
      <w:proofErr w:type="spellStart"/>
      <w:r w:rsidRPr="00591F37">
        <w:rPr>
          <w:rFonts w:eastAsia="Calibri"/>
        </w:rPr>
        <w:t>streamflows</w:t>
      </w:r>
      <w:proofErr w:type="spellEnd"/>
      <w:r w:rsidRPr="00591F37">
        <w:rPr>
          <w:rFonts w:eastAsia="Calibri"/>
        </w:rPr>
        <w:t xml:space="preserve"> in some areas of the basin. Pumping is the largest cause of discharge from the basin, with the most significant proportion being agricultural and residential </w:t>
      </w:r>
      <w:proofErr w:type="spellStart"/>
      <w:r w:rsidRPr="00591F37">
        <w:rPr>
          <w:rFonts w:eastAsia="Calibri"/>
        </w:rPr>
        <w:t>pumpage</w:t>
      </w:r>
      <w:proofErr w:type="spellEnd"/>
      <w:r w:rsidRPr="00591F37">
        <w:rPr>
          <w:rFonts w:eastAsia="Calibri"/>
        </w:rPr>
        <w:t xml:space="preserve">.  Public supply </w:t>
      </w:r>
      <w:proofErr w:type="spellStart"/>
      <w:r w:rsidRPr="00591F37">
        <w:rPr>
          <w:rFonts w:eastAsia="Calibri"/>
        </w:rPr>
        <w:t>pumpage</w:t>
      </w:r>
      <w:proofErr w:type="spellEnd"/>
      <w:r w:rsidRPr="00591F37">
        <w:rPr>
          <w:rFonts w:eastAsia="Calibri"/>
        </w:rPr>
        <w:t xml:space="preserve"> represents around 15% of the total.</w:t>
      </w:r>
    </w:p>
    <w:p w:rsidR="005D7E08" w:rsidRDefault="00591F37">
      <w:r w:rsidRPr="00591F37">
        <w:rPr>
          <w:rFonts w:eastAsia="Calibri"/>
        </w:rPr>
        <w:t xml:space="preserve">In general, groundwater levels in shallow aquifers fluctuate seasonally with rainfall and are largely stable over time. The water in these aquifers is relatively young, often less than 50 years old. In contrast, groundwater within deeper aquifers commonly exceeds 4,000 years in age, with the oldest dated groundwater exceeding 30,000 years in age. Some deeper wells show overall stability, others show overall declining trends and still others show historical declining trends followed by recent increases in groundwater levels. A historical groundwater pumping depression that formed in the southern Santa Rosa Plain in the 1980’s and 1990’s has nearly fully recovered as </w:t>
      </w:r>
      <w:r w:rsidR="009823AE">
        <w:rPr>
          <w:rFonts w:eastAsia="Calibri"/>
        </w:rPr>
        <w:t xml:space="preserve">water conservation efforts have reduced usage per capita while </w:t>
      </w:r>
      <w:r w:rsidRPr="00591F37">
        <w:rPr>
          <w:rFonts w:eastAsia="Calibri"/>
        </w:rPr>
        <w:t xml:space="preserve">imported surface water from the Russian River </w:t>
      </w:r>
      <w:r w:rsidR="009823AE">
        <w:rPr>
          <w:rFonts w:eastAsia="Calibri"/>
        </w:rPr>
        <w:t xml:space="preserve">also </w:t>
      </w:r>
      <w:r w:rsidRPr="00591F37">
        <w:rPr>
          <w:rFonts w:eastAsia="Calibri"/>
        </w:rPr>
        <w:t xml:space="preserve">replaced </w:t>
      </w:r>
      <w:r w:rsidR="009823AE">
        <w:rPr>
          <w:rFonts w:eastAsia="Calibri"/>
        </w:rPr>
        <w:t xml:space="preserve">a portion of the </w:t>
      </w:r>
      <w:r w:rsidRPr="00591F37">
        <w:rPr>
          <w:rFonts w:eastAsia="Calibri"/>
        </w:rPr>
        <w:t xml:space="preserve">groundwater use in this area over the past decade. </w:t>
      </w:r>
    </w:p>
    <w:p w:rsidR="00991FC5" w:rsidRDefault="00991FC5" w:rsidP="00991FC5">
      <w:pPr>
        <w:pStyle w:val="Heading4"/>
      </w:pPr>
      <w:r>
        <w:t>Groundwater Quality</w:t>
      </w:r>
    </w:p>
    <w:p w:rsidR="00991FC5" w:rsidRDefault="00991FC5" w:rsidP="00991FC5">
      <w:pPr>
        <w:rPr>
          <w:rFonts w:eastAsia="Calibri"/>
        </w:rPr>
      </w:pPr>
      <w:r>
        <w:rPr>
          <w:rFonts w:eastAsia="Calibri"/>
        </w:rPr>
        <w:t xml:space="preserve">Groundwater quality in the City’s water supply wells is generally good, but two wells have elevated iron and manganese concentrations. The City’s wells are sampled triennially for complete general minerals and trace elements as required by the Department of Public Health (DPH) for all public water systems, and Wells 1A and 3 are also sampled monthly for iron and manganese. Raw groundwater produced from the three City wells meets primary state drinking water standards, and treated groundwater from these wells also meets secondary drinking water standards (Cotati Groundwater Supply Assessment, 2008).  </w:t>
      </w:r>
    </w:p>
    <w:p w:rsidR="00991FC5" w:rsidRPr="00E56F37" w:rsidRDefault="00991FC5" w:rsidP="00991FC5">
      <w:pPr>
        <w:pStyle w:val="Heading3"/>
        <w:rPr>
          <w:rFonts w:eastAsia="Calibri"/>
        </w:rPr>
      </w:pPr>
      <w:r>
        <w:rPr>
          <w:rFonts w:eastAsia="Calibri"/>
        </w:rPr>
        <w:t>Water Distribution Infrastructure</w:t>
      </w:r>
    </w:p>
    <w:p w:rsidR="00991FC5" w:rsidRDefault="00991FC5" w:rsidP="00991FC5">
      <w:pPr>
        <w:rPr>
          <w:rFonts w:eastAsia="Calibri"/>
        </w:rPr>
      </w:pPr>
      <w:r>
        <w:rPr>
          <w:rFonts w:eastAsia="Calibri"/>
        </w:rPr>
        <w:t xml:space="preserve">The water system is comprised of three groundwater wells, two turnouts from the Sonoma County Water Agency (SCWA), two storage facilities (only one in operation with a 1.0 million gallon capacity), and approximately 150,000 lineal feet of distribution piping ranging in size from 2-inch to 24-inch pipes. The existing water distribution system consists of a single pressure zone with an approximate hydraulic grade line elevation ranging from 288 to 294 feet (Cotati Downtown Specific Plan Water Supply Assessment, </w:t>
      </w:r>
      <w:proofErr w:type="spellStart"/>
      <w:r>
        <w:rPr>
          <w:rFonts w:eastAsia="Calibri"/>
        </w:rPr>
        <w:t>Winzler</w:t>
      </w:r>
      <w:proofErr w:type="spellEnd"/>
      <w:r>
        <w:rPr>
          <w:rFonts w:eastAsia="Calibri"/>
        </w:rPr>
        <w:t xml:space="preserve"> and Kelly, 2008). See Figure 3.13-1 for the service area boundary and general water system information.</w:t>
      </w:r>
    </w:p>
    <w:p w:rsidR="00991FC5" w:rsidRDefault="00991FC5" w:rsidP="00991FC5">
      <w:pPr>
        <w:pStyle w:val="Heading4"/>
        <w:rPr>
          <w:rFonts w:eastAsia="Calibri"/>
        </w:rPr>
      </w:pPr>
      <w:r>
        <w:rPr>
          <w:rFonts w:eastAsia="Calibri"/>
        </w:rPr>
        <w:t>Turnouts</w:t>
      </w:r>
    </w:p>
    <w:p w:rsidR="00991FC5" w:rsidRDefault="00991FC5" w:rsidP="00991FC5">
      <w:pPr>
        <w:rPr>
          <w:rFonts w:eastAsia="Calibri"/>
        </w:rPr>
      </w:pPr>
      <w:r>
        <w:rPr>
          <w:rFonts w:eastAsia="Calibri"/>
        </w:rPr>
        <w:t xml:space="preserve">The City’s water system currently has two metered turnout connections to the SCWA’s 48-inch aqueduct that runs through the City along West Sierra Avenue and East Cotati Avenue.  Each turnout facility is equipped with an isolation valve, a meter and a pressure reducing valve, which </w:t>
      </w:r>
      <w:r>
        <w:rPr>
          <w:rFonts w:eastAsia="Calibri"/>
        </w:rPr>
        <w:lastRenderedPageBreak/>
        <w:t xml:space="preserve">regulates downstream pressure to approximately 70 psi.  Turnout No. 1 is located at the intersection of West Sierra Avenue and Cypress Avenue.  Turnout No. 2 is located along East Cotati Avenue, east of LaSalle Avenue (WDSMP, 2011).  </w:t>
      </w:r>
    </w:p>
    <w:p w:rsidR="00991FC5" w:rsidRDefault="00991FC5" w:rsidP="00991FC5">
      <w:pPr>
        <w:pStyle w:val="Heading4"/>
        <w:rPr>
          <w:rFonts w:eastAsia="Calibri"/>
        </w:rPr>
      </w:pPr>
      <w:r>
        <w:rPr>
          <w:rFonts w:eastAsia="Calibri"/>
        </w:rPr>
        <w:t>Water Storage</w:t>
      </w:r>
    </w:p>
    <w:p w:rsidR="00991FC5" w:rsidRDefault="00991FC5" w:rsidP="00991FC5">
      <w:pPr>
        <w:rPr>
          <w:rFonts w:eastAsia="Calibri"/>
        </w:rPr>
      </w:pPr>
      <w:r>
        <w:rPr>
          <w:rFonts w:eastAsia="Calibri"/>
        </w:rPr>
        <w:t xml:space="preserve">The City owns two water storage tanks.  The West Sierra Avenue storage tank was constructed in 1997 and is a knuckle-roofed, welded steel storage tank with a total storage capacity of 1.0 MG.  The facility is located west of Highway 101, just south of West Sierra Avenue, outside of the City limits.  The tank has a base elevation over 249 feet and an overflow elevation of 274 feet.  The high operating water surface elevation in the tank is 272 feet and the tank has a combined inlet/outlet pipe (WDSMP, 2011).  </w:t>
      </w:r>
    </w:p>
    <w:p w:rsidR="00991FC5" w:rsidRPr="00EA461C" w:rsidRDefault="00991FC5" w:rsidP="00991FC5">
      <w:pPr>
        <w:rPr>
          <w:rFonts w:eastAsia="Calibri"/>
        </w:rPr>
      </w:pPr>
      <w:r>
        <w:rPr>
          <w:rFonts w:eastAsia="Calibri"/>
        </w:rPr>
        <w:t xml:space="preserve">The Cypress Avenue storage tank is a 100,000 gallon storage tank located at the end of Loma Linda Avenue.  This storage tank is currently out of service but the City is proceeding with plans to remove the existing storage tank and replace it with a 400,000 gallon tank. </w:t>
      </w:r>
      <w:proofErr w:type="gramStart"/>
      <w:r>
        <w:rPr>
          <w:rFonts w:eastAsia="Calibri"/>
        </w:rPr>
        <w:t>(WDSMP, 2011).</w:t>
      </w:r>
      <w:proofErr w:type="gramEnd"/>
      <w:r>
        <w:rPr>
          <w:rFonts w:eastAsia="Calibri"/>
        </w:rPr>
        <w:t xml:space="preserve">  </w:t>
      </w:r>
    </w:p>
    <w:p w:rsidR="00991FC5" w:rsidRPr="002F31CD" w:rsidRDefault="00991FC5" w:rsidP="00991FC5">
      <w:pPr>
        <w:pStyle w:val="Heading3"/>
      </w:pPr>
      <w:r w:rsidRPr="002F31CD">
        <w:t>Regulatory Setting – Water Supplies</w:t>
      </w:r>
    </w:p>
    <w:p w:rsidR="00991FC5" w:rsidRPr="002F31CD" w:rsidRDefault="00991FC5" w:rsidP="00991FC5">
      <w:pPr>
        <w:pStyle w:val="Heading5"/>
      </w:pPr>
      <w:r w:rsidRPr="002F31CD">
        <w:t xml:space="preserve">State </w:t>
      </w:r>
    </w:p>
    <w:p w:rsidR="00991FC5" w:rsidRPr="002F31CD" w:rsidRDefault="00991FC5" w:rsidP="00991FC5">
      <w:pPr>
        <w:pStyle w:val="Heading4"/>
      </w:pPr>
      <w:r w:rsidRPr="002F31CD">
        <w:t>California Department of Health Services</w:t>
      </w:r>
    </w:p>
    <w:p w:rsidR="00991FC5" w:rsidRPr="002F31CD" w:rsidRDefault="00991FC5" w:rsidP="00991FC5">
      <w:r w:rsidRPr="002F31CD">
        <w:t>The Department of Health Services, Division of Drinking Water and Environmental Management, oversees the Drinking Water Program. The Drinking Water Program regulates public water systems and certifies drinking water treatment and distribution operators. It provides support for small water systems and for improving their technical, managerial, and financial capacity. It provides subsidized funding for water system improvements under the State Revolving Fund (“SRF”) and Proposition 50 programs. The Drinking Water Program also oversees water recycling projects, permits water treatment devices, supports and promotes water system security, and oversees the Drinking Water Treatment and Research Fund for MTBE and other oxygenates.</w:t>
      </w:r>
    </w:p>
    <w:p w:rsidR="00991FC5" w:rsidRPr="002F31CD" w:rsidRDefault="00991FC5" w:rsidP="00991FC5">
      <w:pPr>
        <w:pStyle w:val="Heading4"/>
      </w:pPr>
      <w:r w:rsidRPr="002F31CD">
        <w:t>California Code of Regulations</w:t>
      </w:r>
    </w:p>
    <w:p w:rsidR="00991FC5" w:rsidRPr="002F31CD" w:rsidRDefault="00991FC5" w:rsidP="00991FC5">
      <w:r w:rsidRPr="002F31CD">
        <w:t xml:space="preserve">California Code of Regulations (CCR) Title 22, Chapter 15, Article 20 requires all public water systems to prepare a Consumer Confidence Report for distribution to its customers and to the Department of Health Services. The Consumer Confidence Report provides information regarding the quality of potable water provided by the water system. It includes information on the sources of the water, any detected contaminants in the water, the maximum contaminants levels set by regulation, violations and actions taken to correct them, and opportunities for public participation in decisions that may affect the quality of the water provided. </w:t>
      </w:r>
    </w:p>
    <w:p w:rsidR="00991FC5" w:rsidRPr="002F31CD" w:rsidRDefault="00991FC5" w:rsidP="00991FC5">
      <w:pPr>
        <w:pStyle w:val="Heading4"/>
      </w:pPr>
      <w:r w:rsidRPr="002F31CD">
        <w:t>Urban Water Management Planning Act</w:t>
      </w:r>
    </w:p>
    <w:p w:rsidR="00991FC5" w:rsidRPr="002F31CD" w:rsidRDefault="00991FC5" w:rsidP="00991FC5">
      <w:r w:rsidRPr="002F31CD">
        <w:t xml:space="preserve">The Urban Water Management Planning Act has as its objectives the management of urban water demands and the efficient use of urban water. Under its provisions, every urban water supplier is required to prepare and adopt an urban water management plan. An “urban water supplier” is a </w:t>
      </w:r>
      <w:r w:rsidRPr="002F31CD">
        <w:lastRenderedPageBreak/>
        <w:t>public or private water supplier that provides water for municipal purposes either directly or indirectly to more than 3,000 c</w:t>
      </w:r>
      <w:r>
        <w:t>onnections</w:t>
      </w:r>
      <w:r w:rsidRPr="002F31CD">
        <w:t xml:space="preserve"> or supplying more than 3,000 acre-feet of water annually. The plan must identify and quantify the existing and planned sources of water available to the supplier, quantify the projected water use for a period of 20 years, and describe the supplier’s water demand management measures. The urban water supplier should make every effort to ensure the appropriate level of reliability in its water service sufficient to meet the needs of its various categories of customers during normal, dry, and multiple dry years. The Department of Water Resources must receive a copy of an adopted urban water management plan.</w:t>
      </w:r>
      <w:r>
        <w:t xml:space="preserve">  Although the City has created urban water management plans in recent years, it is not required to under state law.  </w:t>
      </w:r>
    </w:p>
    <w:p w:rsidR="00991FC5" w:rsidRPr="002F31CD" w:rsidRDefault="00991FC5" w:rsidP="00991FC5">
      <w:pPr>
        <w:pStyle w:val="Heading4"/>
      </w:pPr>
      <w:r w:rsidRPr="002F31CD">
        <w:t>Senate Bill (SB) 610 and Assembly Bill (AB) 901</w:t>
      </w:r>
    </w:p>
    <w:p w:rsidR="00991FC5" w:rsidRPr="002F31CD" w:rsidRDefault="00991FC5" w:rsidP="00991FC5">
      <w:r w:rsidRPr="002F31CD">
        <w:t xml:space="preserve">The State Legislature passed SB 610 and AB 901 in 2001. Both measures modified the Urban Water Management Planning Act. </w:t>
      </w:r>
    </w:p>
    <w:p w:rsidR="00991FC5" w:rsidRPr="002F31CD" w:rsidRDefault="00991FC5" w:rsidP="00991FC5">
      <w:r w:rsidRPr="002F31CD">
        <w:t>SB 610 requires additional information in an urban water management plan if groundwater is identified as a source of water available to an urban water supplier. It also requires that the plan include a description of all water supply projects and programs that may be undertaken to meet total projected water use. SB 610 requires a city or county that determines a project is subject to CEQA to identify any public water system that may supply water to the project and to request identified public water systems to prepare a specified water supply assessment. The assessment must include, among other information, an identification of existing water supply entitlements, water rights, or water service contracts relevant to the identified water supply for the proposed project, and water received in prior years pursuant to these entitlements, rights and contracts.</w:t>
      </w:r>
    </w:p>
    <w:p w:rsidR="00991FC5" w:rsidRPr="002F31CD" w:rsidRDefault="00991FC5" w:rsidP="00991FC5">
      <w:r w:rsidRPr="002F31CD">
        <w:t>AB 901 requires an urban water management plan to include information, to the extent practicable, relating to the quality of existing sources of water available to an urban water supplier over given time periods. AB 901 also requires information on the manner in which water quality affects water management strategies and supply reliability. The bill requires a plan to describe plans to supplement a water source that may not be available at a consistent level of use, to the extent practicable. Additional findings and declarations relating to water quality are required.</w:t>
      </w:r>
    </w:p>
    <w:p w:rsidR="00991FC5" w:rsidRPr="002F31CD" w:rsidRDefault="00991FC5" w:rsidP="00991FC5">
      <w:pPr>
        <w:pStyle w:val="Heading4"/>
      </w:pPr>
      <w:r w:rsidRPr="002F31CD">
        <w:t>Senate Bill (SB) 221</w:t>
      </w:r>
    </w:p>
    <w:p w:rsidR="00991FC5" w:rsidRPr="002F31CD" w:rsidRDefault="00991FC5" w:rsidP="00991FC5">
      <w:r w:rsidRPr="002F31CD">
        <w:t xml:space="preserve">SB 221 adds Government Code Section 66455.3, requiring that the local water agency be sent a copy of any proposed residential subdivision of more than 500 dwelling units within five days of the subdivision application being accepted as complete for processing by the city or county. It also adds Government Code Section 66473.7, establishing detailed requirements for establishing whether a “sufficient water supply” exists to support any proposed residential subdivisions of more than 500 dwellings, including any such subdivision involving a development agreement. When approving a qualifying subdivision tentative map, the city or county must include a condition requiring availability of a sufficient water supply. The applicable public water system must provide proof of availability. If there is no public water system, the city or county must undertake the analysis described in Government Code Section 66473.7. The analysis must include consideration of effects on other users of water and groundwater. </w:t>
      </w:r>
    </w:p>
    <w:p w:rsidR="00991FC5" w:rsidRPr="002F31CD" w:rsidRDefault="00991FC5" w:rsidP="00991FC5">
      <w:pPr>
        <w:pStyle w:val="Heading5"/>
      </w:pPr>
      <w:r w:rsidRPr="002F31CD">
        <w:lastRenderedPageBreak/>
        <w:t xml:space="preserve">Local </w:t>
      </w:r>
    </w:p>
    <w:p w:rsidR="00991FC5" w:rsidRPr="009E0BE1" w:rsidRDefault="00991FC5" w:rsidP="00991FC5">
      <w:pPr>
        <w:pStyle w:val="Heading4"/>
      </w:pPr>
      <w:r w:rsidRPr="009E0BE1">
        <w:t>City of Cotati Municipal Code</w:t>
      </w:r>
    </w:p>
    <w:p w:rsidR="00991FC5" w:rsidRPr="00435236" w:rsidRDefault="00991FC5" w:rsidP="00991FC5">
      <w:r w:rsidRPr="00435236">
        <w:t>Chapter 13</w:t>
      </w:r>
      <w:r>
        <w:t xml:space="preserve"> of the Cotati Municipal Code includes regulations regarding the process for connecting to the City’s municipal water system.  This Code section includes information regarding connection applications, rates, fees, watercourse and natural drainage management, and the City’s water shortage contingency plan.  </w:t>
      </w:r>
    </w:p>
    <w:p w:rsidR="00991FC5" w:rsidRDefault="00991FC5" w:rsidP="00991FC5">
      <w:pPr>
        <w:pStyle w:val="Heading4"/>
      </w:pPr>
      <w:r>
        <w:t>City of Cotati Urban Water Management Plan</w:t>
      </w:r>
    </w:p>
    <w:p w:rsidR="00991FC5" w:rsidRPr="001C200F" w:rsidRDefault="00991FC5" w:rsidP="00991FC5">
      <w:pPr>
        <w:rPr>
          <w:rFonts w:eastAsia="Calibri"/>
        </w:rPr>
      </w:pPr>
      <w:r>
        <w:t xml:space="preserve">The City’s 2010 Urban Water Management Plan (UWMP) was finalized in August 2011.  The purpose of the UWMP is to evaluate whether a water supplier, in this case the City, can meet the water demands of its water customers as projected over a 20- or 25-year period.  This evaluation is accomplished through analysis of current and projected water supply and demand for normal or average conditions, as well as during water shortages.  </w:t>
      </w:r>
    </w:p>
    <w:p w:rsidR="00991FC5" w:rsidRDefault="00991FC5" w:rsidP="00991FC5">
      <w:pPr>
        <w:pStyle w:val="Heading4"/>
      </w:pPr>
      <w:r>
        <w:t>City of Cotati Water Distribution System Master Plan</w:t>
      </w:r>
    </w:p>
    <w:p w:rsidR="00991FC5" w:rsidRPr="001C200F" w:rsidRDefault="00991FC5" w:rsidP="00991FC5">
      <w:r>
        <w:t xml:space="preserve">The City of Cotati’s Water Distribution System Master Plan (WDSMP) provides a planning tool for upgrading the City’s potable water distribution system to support planned growth through the year 2035.  The Water Distribution System Master Plan includes a summary of existing water system facilities, an analysis of potable water demand, an analysis of fire flow demand, the development of a hydraulic model, an analysis of existing and planned supply, an analysis of storage capacity and infrastructure, and a capital improvement plan that identifies projects and improvements needed for the water system to meet performance requirements through the year 2035.  The Master Plan was finalized in September 2011.  </w:t>
      </w:r>
    </w:p>
    <w:p w:rsidR="00991FC5" w:rsidRDefault="00991FC5" w:rsidP="00991FC5">
      <w:pPr>
        <w:pStyle w:val="Heading4"/>
      </w:pPr>
      <w:r>
        <w:t>Sonoma County Water Agency Urban Water Management Plan</w:t>
      </w:r>
    </w:p>
    <w:p w:rsidR="00991FC5" w:rsidRDefault="00991FC5" w:rsidP="00991FC5">
      <w:r>
        <w:t>In June 2011, the SCWA approved the 2010 Urban Water Management Plan, which includes updated water supply and projection data.  The SCWA UWMP describes the regulatory conditions under which it receives and distributes water, its existing and projected water supply, constraints to the water supply, and water conservation measures.  A summary of the SCWA’s water supplies, facilities, and water rights is provided below.</w:t>
      </w:r>
    </w:p>
    <w:p w:rsidR="00991FC5" w:rsidRPr="0042174A" w:rsidRDefault="00991FC5" w:rsidP="00991FC5">
      <w:pPr>
        <w:pStyle w:val="Heading3"/>
      </w:pPr>
      <w:r>
        <w:br w:type="page"/>
      </w:r>
      <w:r w:rsidRPr="0042174A">
        <w:lastRenderedPageBreak/>
        <w:t>Thresholds of Significance</w:t>
      </w:r>
    </w:p>
    <w:p w:rsidR="00991FC5" w:rsidRPr="0042174A" w:rsidRDefault="00991FC5" w:rsidP="00991FC5">
      <w:r w:rsidRPr="0042174A">
        <w:t>Consistent with Appendix G of the CEQA Guidelines, the proposed project may have a significant impact on the environment associated with Utilities if it would:</w:t>
      </w:r>
    </w:p>
    <w:p w:rsidR="00991FC5" w:rsidRPr="0042174A" w:rsidRDefault="00991FC5" w:rsidP="00991FC5">
      <w:pPr>
        <w:numPr>
          <w:ilvl w:val="0"/>
          <w:numId w:val="4"/>
        </w:numPr>
      </w:pPr>
      <w:r w:rsidRPr="0042174A">
        <w:t>Require or result in the construction of new water treatment facilities or expansion of existing facilities, the construction of which could cause significant environmental effects</w:t>
      </w:r>
      <w:r>
        <w:t>; or</w:t>
      </w:r>
    </w:p>
    <w:p w:rsidR="00991FC5" w:rsidRPr="0042174A" w:rsidRDefault="00991FC5" w:rsidP="00991FC5">
      <w:pPr>
        <w:numPr>
          <w:ilvl w:val="0"/>
          <w:numId w:val="4"/>
        </w:numPr>
      </w:pPr>
      <w:r w:rsidRPr="0042174A">
        <w:t xml:space="preserve">Have insufficient water supplies available to serve the project from existing entitlements and resources, or if new or expanded entitlements are needed. </w:t>
      </w:r>
    </w:p>
    <w:p w:rsidR="00991FC5" w:rsidRPr="00356696" w:rsidRDefault="00991FC5" w:rsidP="00991FC5">
      <w:pPr>
        <w:pStyle w:val="Heading3"/>
      </w:pPr>
      <w:r w:rsidRPr="00356696">
        <w:t>Impacts and Mitigation Measures</w:t>
      </w:r>
    </w:p>
    <w:p w:rsidR="00991FC5" w:rsidRPr="00356696" w:rsidRDefault="00991FC5" w:rsidP="00991FC5">
      <w:pPr>
        <w:pStyle w:val="Heading4"/>
      </w:pPr>
      <w:r w:rsidRPr="00356696">
        <w:t xml:space="preserve">Impact 3.13-1: Increased Demand for Water Supply </w:t>
      </w:r>
      <w:r w:rsidRPr="00356696">
        <w:br/>
        <w:t>(Less than Significant)</w:t>
      </w:r>
    </w:p>
    <w:p w:rsidR="00991FC5" w:rsidRPr="00356696" w:rsidRDefault="00991FC5" w:rsidP="00991FC5">
      <w:r w:rsidRPr="00356696">
        <w:t xml:space="preserve">Implementation of the 2013 General Plan would result in increased population and employment growth within the City’s Planning Area, and a corresponding increase in the demand for additional water supplies. </w:t>
      </w:r>
    </w:p>
    <w:p w:rsidR="00991FC5" w:rsidRDefault="00991FC5" w:rsidP="00991FC5">
      <w:r w:rsidRPr="000150A9">
        <w:t>As described in Chapter 2.0, the 2013 General Plan is expected to accommodate approximately 1,</w:t>
      </w:r>
      <w:r>
        <w:t>541</w:t>
      </w:r>
      <w:r w:rsidRPr="000150A9">
        <w:t xml:space="preserve"> new residential dwelling units, 910,013 square feet of new commercial space, 511,320 square feet of new industrial space, and 966,706 square feet of new office space within the City Limits.  This new growth would increase the City’s population by approximately 3,</w:t>
      </w:r>
      <w:r>
        <w:t>775</w:t>
      </w:r>
      <w:r w:rsidRPr="000150A9">
        <w:t xml:space="preserve"> residents. The full development of the new commercial, office, and industrial uses shown in Table 2-3 would increase the employment opportunities in Cotati by approximately 6,766 employees. </w:t>
      </w:r>
    </w:p>
    <w:p w:rsidR="00991FC5" w:rsidRDefault="00991FC5" w:rsidP="00991FC5">
      <w:r>
        <w:t xml:space="preserve">As shown in Table 2-4, buildout of the General Plan within the City Limits and the SOI could yield up to 2,140 new residential units, 1,233,160 square feet of new commercial space, 1,106,391 square feet of new industrial space, and 994,694 square feet of new office space within the City Limits and the Sphere of Influence.  This new growth would increase the Planning Area’s population by approximately 5,243 residents. The full development of the new commercial, office, and industrial uses shown in Table 2-4 would increase the employment opportunities in the Cotati Planning Area by approximately 8,819 employees. </w:t>
      </w:r>
    </w:p>
    <w:p w:rsidR="00991FC5" w:rsidRDefault="00991FC5" w:rsidP="00991FC5">
      <w:r>
        <w:t xml:space="preserve">Water uses within the Cotati service area include single-family residences, apartments, condominiums, </w:t>
      </w:r>
      <w:r w:rsidRPr="00B602C2">
        <w:t xml:space="preserve">commercial uses, irrigation, government uses, miscellaneous uses, pools, and mobile home customers.  The historical and projected </w:t>
      </w:r>
      <w:r>
        <w:t>population within the City’s service area</w:t>
      </w:r>
      <w:r w:rsidRPr="00B602C2">
        <w:t xml:space="preserve"> and deliveries to </w:t>
      </w:r>
      <w:r>
        <w:t>City water</w:t>
      </w:r>
      <w:r w:rsidRPr="00B602C2">
        <w:t xml:space="preserve"> customers are </w:t>
      </w:r>
      <w:r>
        <w:t>identified below in Table 3.13-3. Water volumes in Table 3.13-3</w:t>
      </w:r>
      <w:r w:rsidRPr="00B602C2">
        <w:t xml:space="preserve"> are presented in acre-feet per year</w:t>
      </w:r>
      <w:r>
        <w:t>, and identify the AFY demand of water supplies on a per capita basis</w:t>
      </w:r>
      <w:r w:rsidRPr="00B602C2">
        <w:t>.</w:t>
      </w:r>
    </w:p>
    <w:p w:rsidR="00991FC5" w:rsidRPr="00B602C2" w:rsidRDefault="00991FC5" w:rsidP="00991FC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2"/>
        <w:gridCol w:w="2192"/>
        <w:gridCol w:w="2408"/>
        <w:gridCol w:w="2200"/>
      </w:tblGrid>
      <w:tr w:rsidR="00991FC5" w:rsidRPr="00B602C2">
        <w:trPr>
          <w:trHeight w:val="422"/>
        </w:trPr>
        <w:tc>
          <w:tcPr>
            <w:tcW w:w="9072" w:type="dxa"/>
            <w:gridSpan w:val="4"/>
            <w:shd w:val="clear" w:color="auto" w:fill="000000"/>
            <w:vAlign w:val="center"/>
          </w:tcPr>
          <w:p w:rsidR="00991FC5" w:rsidRPr="003C1ACC" w:rsidRDefault="00991FC5" w:rsidP="00991FC5">
            <w:pPr>
              <w:spacing w:after="0"/>
              <w:jc w:val="center"/>
              <w:rPr>
                <w:rFonts w:ascii="Cambria" w:hAnsi="Cambria"/>
                <w:b/>
                <w:smallCaps/>
                <w:sz w:val="20"/>
                <w:szCs w:val="20"/>
              </w:rPr>
            </w:pPr>
            <w:r w:rsidRPr="003C1ACC">
              <w:rPr>
                <w:rFonts w:ascii="Cambria" w:hAnsi="Cambria"/>
                <w:b/>
                <w:color w:val="FFFFFF"/>
                <w:sz w:val="20"/>
              </w:rPr>
              <w:t>Table 3.13-3</w:t>
            </w:r>
            <w:r>
              <w:rPr>
                <w:rFonts w:ascii="Cambria" w:hAnsi="Cambria"/>
                <w:b/>
                <w:color w:val="FFFFFF"/>
                <w:sz w:val="20"/>
              </w:rPr>
              <w:t xml:space="preserve">: Cotati 2010 UWMP </w:t>
            </w:r>
            <w:r w:rsidRPr="003C1ACC">
              <w:rPr>
                <w:rFonts w:ascii="Cambria" w:hAnsi="Cambria"/>
                <w:b/>
                <w:color w:val="FFFFFF"/>
                <w:sz w:val="20"/>
              </w:rPr>
              <w:t>Historical and Project</w:t>
            </w:r>
            <w:r>
              <w:rPr>
                <w:rFonts w:ascii="Cambria" w:hAnsi="Cambria"/>
                <w:b/>
                <w:color w:val="FFFFFF"/>
                <w:sz w:val="20"/>
              </w:rPr>
              <w:t>ed</w:t>
            </w:r>
            <w:r w:rsidRPr="003C1ACC">
              <w:rPr>
                <w:rFonts w:ascii="Cambria" w:hAnsi="Cambria"/>
                <w:b/>
                <w:color w:val="FFFFFF"/>
                <w:sz w:val="20"/>
              </w:rPr>
              <w:t xml:space="preserve"> Water Demand</w:t>
            </w:r>
          </w:p>
        </w:tc>
      </w:tr>
      <w:tr w:rsidR="00991FC5" w:rsidRPr="00B602C2">
        <w:trPr>
          <w:trHeight w:val="1048"/>
        </w:trPr>
        <w:tc>
          <w:tcPr>
            <w:tcW w:w="2272" w:type="dxa"/>
            <w:shd w:val="clear" w:color="auto" w:fill="D9D9D9"/>
            <w:vAlign w:val="center"/>
          </w:tcPr>
          <w:p w:rsidR="00991FC5" w:rsidRPr="00B602C2" w:rsidRDefault="00991FC5" w:rsidP="00991FC5">
            <w:pPr>
              <w:spacing w:after="0"/>
              <w:jc w:val="center"/>
              <w:rPr>
                <w:rFonts w:ascii="Cambria" w:hAnsi="Cambria"/>
                <w:i/>
                <w:smallCaps/>
                <w:sz w:val="20"/>
                <w:szCs w:val="20"/>
              </w:rPr>
            </w:pPr>
            <w:r w:rsidRPr="00B602C2">
              <w:rPr>
                <w:rFonts w:ascii="Cambria" w:hAnsi="Cambria"/>
                <w:i/>
                <w:smallCaps/>
                <w:sz w:val="20"/>
                <w:szCs w:val="20"/>
              </w:rPr>
              <w:t>Year</w:t>
            </w:r>
          </w:p>
        </w:tc>
        <w:tc>
          <w:tcPr>
            <w:tcW w:w="2192" w:type="dxa"/>
            <w:shd w:val="clear" w:color="auto" w:fill="D9D9D9"/>
            <w:vAlign w:val="center"/>
          </w:tcPr>
          <w:p w:rsidR="00991FC5" w:rsidRDefault="00991FC5" w:rsidP="00991FC5">
            <w:pPr>
              <w:spacing w:after="0"/>
              <w:jc w:val="center"/>
              <w:rPr>
                <w:rFonts w:ascii="Cambria" w:hAnsi="Cambria"/>
                <w:i/>
                <w:smallCaps/>
                <w:sz w:val="20"/>
                <w:szCs w:val="20"/>
              </w:rPr>
            </w:pPr>
            <w:r>
              <w:rPr>
                <w:rFonts w:ascii="Cambria" w:hAnsi="Cambria"/>
                <w:i/>
                <w:smallCaps/>
                <w:sz w:val="20"/>
                <w:szCs w:val="20"/>
              </w:rPr>
              <w:t xml:space="preserve">Population </w:t>
            </w:r>
          </w:p>
          <w:p w:rsidR="00991FC5" w:rsidRPr="00B602C2" w:rsidRDefault="00991FC5" w:rsidP="00991FC5">
            <w:pPr>
              <w:spacing w:after="0"/>
              <w:jc w:val="center"/>
              <w:rPr>
                <w:rFonts w:ascii="Cambria" w:hAnsi="Cambria"/>
                <w:i/>
                <w:smallCaps/>
                <w:sz w:val="20"/>
                <w:szCs w:val="20"/>
              </w:rPr>
            </w:pPr>
            <w:r>
              <w:rPr>
                <w:rFonts w:ascii="Cambria" w:hAnsi="Cambria"/>
                <w:i/>
                <w:smallCaps/>
                <w:sz w:val="20"/>
                <w:szCs w:val="20"/>
              </w:rPr>
              <w:t>(actual or projected)</w:t>
            </w:r>
          </w:p>
        </w:tc>
        <w:tc>
          <w:tcPr>
            <w:tcW w:w="2408" w:type="dxa"/>
            <w:shd w:val="clear" w:color="auto" w:fill="D9D9D9"/>
            <w:vAlign w:val="center"/>
          </w:tcPr>
          <w:p w:rsidR="00991FC5" w:rsidRPr="00B602C2" w:rsidRDefault="00991FC5" w:rsidP="00991FC5">
            <w:pPr>
              <w:spacing w:after="0"/>
              <w:jc w:val="center"/>
              <w:rPr>
                <w:rFonts w:ascii="Cambria" w:hAnsi="Cambria"/>
                <w:i/>
                <w:smallCaps/>
                <w:sz w:val="20"/>
                <w:szCs w:val="20"/>
              </w:rPr>
            </w:pPr>
            <w:r w:rsidRPr="00B602C2">
              <w:rPr>
                <w:rFonts w:ascii="Cambria" w:hAnsi="Cambria"/>
                <w:i/>
                <w:smallCaps/>
                <w:sz w:val="20"/>
                <w:szCs w:val="20"/>
              </w:rPr>
              <w:t>Total Volume of Water Delivered or Projected</w:t>
            </w:r>
          </w:p>
        </w:tc>
        <w:tc>
          <w:tcPr>
            <w:tcW w:w="2200" w:type="dxa"/>
            <w:shd w:val="clear" w:color="auto" w:fill="D9D9D9"/>
            <w:vAlign w:val="center"/>
          </w:tcPr>
          <w:p w:rsidR="00991FC5" w:rsidRPr="00B602C2" w:rsidRDefault="00991FC5" w:rsidP="00991FC5">
            <w:pPr>
              <w:spacing w:after="0"/>
              <w:jc w:val="center"/>
              <w:rPr>
                <w:rFonts w:ascii="Cambria" w:hAnsi="Cambria"/>
                <w:i/>
                <w:smallCaps/>
                <w:sz w:val="20"/>
                <w:szCs w:val="20"/>
              </w:rPr>
            </w:pPr>
            <w:r>
              <w:rPr>
                <w:rFonts w:ascii="Cambria" w:hAnsi="Cambria"/>
                <w:i/>
                <w:smallCaps/>
                <w:sz w:val="20"/>
                <w:szCs w:val="20"/>
              </w:rPr>
              <w:t>Acre-Feet Per Year (AFY) Demand Per Capita</w:t>
            </w:r>
          </w:p>
        </w:tc>
      </w:tr>
      <w:tr w:rsidR="00991FC5" w:rsidRPr="00B602C2">
        <w:trPr>
          <w:trHeight w:val="229"/>
        </w:trPr>
        <w:tc>
          <w:tcPr>
            <w:tcW w:w="2272" w:type="dxa"/>
            <w:vAlign w:val="center"/>
          </w:tcPr>
          <w:p w:rsidR="00991FC5" w:rsidRPr="00B602C2" w:rsidRDefault="00991FC5" w:rsidP="00991FC5">
            <w:pPr>
              <w:spacing w:before="60" w:after="60"/>
              <w:jc w:val="center"/>
              <w:rPr>
                <w:rFonts w:ascii="Cambria" w:hAnsi="Cambria"/>
                <w:sz w:val="18"/>
                <w:szCs w:val="18"/>
              </w:rPr>
            </w:pPr>
            <w:r w:rsidRPr="00B602C2">
              <w:rPr>
                <w:rFonts w:ascii="Cambria" w:hAnsi="Cambria"/>
                <w:sz w:val="18"/>
                <w:szCs w:val="18"/>
              </w:rPr>
              <w:t>2005</w:t>
            </w:r>
          </w:p>
        </w:tc>
        <w:tc>
          <w:tcPr>
            <w:tcW w:w="2192"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7,418</w:t>
            </w:r>
          </w:p>
        </w:tc>
        <w:tc>
          <w:tcPr>
            <w:tcW w:w="2408"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964</w:t>
            </w:r>
          </w:p>
        </w:tc>
        <w:tc>
          <w:tcPr>
            <w:tcW w:w="2200" w:type="dxa"/>
          </w:tcPr>
          <w:p w:rsidR="00991FC5" w:rsidRPr="00B602C2" w:rsidRDefault="00991FC5" w:rsidP="00991FC5">
            <w:pPr>
              <w:spacing w:before="60" w:after="60"/>
              <w:jc w:val="center"/>
              <w:rPr>
                <w:rFonts w:ascii="Cambria" w:hAnsi="Cambria"/>
                <w:sz w:val="18"/>
                <w:szCs w:val="18"/>
              </w:rPr>
            </w:pPr>
            <w:r>
              <w:rPr>
                <w:rFonts w:ascii="Cambria" w:hAnsi="Cambria"/>
                <w:sz w:val="18"/>
                <w:szCs w:val="18"/>
              </w:rPr>
              <w:t>0.13</w:t>
            </w:r>
          </w:p>
        </w:tc>
      </w:tr>
      <w:tr w:rsidR="00991FC5" w:rsidRPr="00B602C2">
        <w:trPr>
          <w:trHeight w:val="229"/>
        </w:trPr>
        <w:tc>
          <w:tcPr>
            <w:tcW w:w="2272" w:type="dxa"/>
            <w:vAlign w:val="center"/>
          </w:tcPr>
          <w:p w:rsidR="00991FC5" w:rsidRPr="00B602C2" w:rsidRDefault="00991FC5" w:rsidP="00991FC5">
            <w:pPr>
              <w:spacing w:before="60" w:after="60"/>
              <w:jc w:val="center"/>
              <w:rPr>
                <w:rFonts w:ascii="Cambria" w:hAnsi="Cambria"/>
                <w:sz w:val="18"/>
                <w:szCs w:val="18"/>
              </w:rPr>
            </w:pPr>
            <w:r w:rsidRPr="00B602C2">
              <w:rPr>
                <w:rFonts w:ascii="Cambria" w:hAnsi="Cambria"/>
                <w:sz w:val="18"/>
                <w:szCs w:val="18"/>
              </w:rPr>
              <w:t>2010</w:t>
            </w:r>
          </w:p>
        </w:tc>
        <w:tc>
          <w:tcPr>
            <w:tcW w:w="2192"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7,711</w:t>
            </w:r>
          </w:p>
        </w:tc>
        <w:tc>
          <w:tcPr>
            <w:tcW w:w="2408"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803</w:t>
            </w:r>
          </w:p>
        </w:tc>
        <w:tc>
          <w:tcPr>
            <w:tcW w:w="2200" w:type="dxa"/>
          </w:tcPr>
          <w:p w:rsidR="00991FC5" w:rsidRPr="00B602C2" w:rsidRDefault="00991FC5" w:rsidP="00991FC5">
            <w:pPr>
              <w:spacing w:before="60" w:after="60"/>
              <w:jc w:val="center"/>
              <w:rPr>
                <w:rFonts w:ascii="Cambria" w:hAnsi="Cambria"/>
                <w:sz w:val="18"/>
                <w:szCs w:val="18"/>
              </w:rPr>
            </w:pPr>
            <w:r>
              <w:rPr>
                <w:rFonts w:ascii="Cambria" w:hAnsi="Cambria"/>
                <w:sz w:val="18"/>
                <w:szCs w:val="18"/>
              </w:rPr>
              <w:t>0.10</w:t>
            </w:r>
          </w:p>
        </w:tc>
      </w:tr>
      <w:tr w:rsidR="00991FC5" w:rsidRPr="00B602C2">
        <w:trPr>
          <w:trHeight w:val="229"/>
        </w:trPr>
        <w:tc>
          <w:tcPr>
            <w:tcW w:w="2272" w:type="dxa"/>
            <w:vAlign w:val="center"/>
          </w:tcPr>
          <w:p w:rsidR="00991FC5" w:rsidRPr="00B602C2" w:rsidRDefault="00991FC5" w:rsidP="00991FC5">
            <w:pPr>
              <w:spacing w:before="60" w:after="60"/>
              <w:jc w:val="center"/>
              <w:rPr>
                <w:rFonts w:ascii="Cambria" w:hAnsi="Cambria"/>
                <w:sz w:val="18"/>
                <w:szCs w:val="18"/>
              </w:rPr>
            </w:pPr>
            <w:r w:rsidRPr="00B602C2">
              <w:rPr>
                <w:rFonts w:ascii="Cambria" w:hAnsi="Cambria"/>
                <w:sz w:val="18"/>
                <w:szCs w:val="18"/>
              </w:rPr>
              <w:t>2015</w:t>
            </w:r>
          </w:p>
        </w:tc>
        <w:tc>
          <w:tcPr>
            <w:tcW w:w="2192"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8,105</w:t>
            </w:r>
          </w:p>
        </w:tc>
        <w:tc>
          <w:tcPr>
            <w:tcW w:w="2408"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1,024</w:t>
            </w:r>
          </w:p>
        </w:tc>
        <w:tc>
          <w:tcPr>
            <w:tcW w:w="2200" w:type="dxa"/>
          </w:tcPr>
          <w:p w:rsidR="00991FC5" w:rsidRPr="00B602C2" w:rsidRDefault="00991FC5" w:rsidP="00991FC5">
            <w:pPr>
              <w:spacing w:before="60" w:after="60"/>
              <w:jc w:val="center"/>
              <w:rPr>
                <w:rFonts w:ascii="Cambria" w:hAnsi="Cambria"/>
                <w:sz w:val="18"/>
                <w:szCs w:val="18"/>
              </w:rPr>
            </w:pPr>
            <w:r>
              <w:rPr>
                <w:rFonts w:ascii="Cambria" w:hAnsi="Cambria"/>
                <w:sz w:val="18"/>
                <w:szCs w:val="18"/>
              </w:rPr>
              <w:t>0.13</w:t>
            </w:r>
          </w:p>
        </w:tc>
      </w:tr>
      <w:tr w:rsidR="00991FC5" w:rsidRPr="00B602C2">
        <w:trPr>
          <w:trHeight w:val="229"/>
        </w:trPr>
        <w:tc>
          <w:tcPr>
            <w:tcW w:w="2272" w:type="dxa"/>
            <w:vAlign w:val="center"/>
          </w:tcPr>
          <w:p w:rsidR="00991FC5" w:rsidRPr="00B602C2" w:rsidRDefault="00991FC5" w:rsidP="00991FC5">
            <w:pPr>
              <w:spacing w:before="60" w:after="60"/>
              <w:jc w:val="center"/>
              <w:rPr>
                <w:rFonts w:ascii="Cambria" w:hAnsi="Cambria"/>
                <w:sz w:val="18"/>
                <w:szCs w:val="18"/>
              </w:rPr>
            </w:pPr>
            <w:r w:rsidRPr="00B602C2">
              <w:rPr>
                <w:rFonts w:ascii="Cambria" w:hAnsi="Cambria"/>
                <w:sz w:val="18"/>
                <w:szCs w:val="18"/>
              </w:rPr>
              <w:t>2020</w:t>
            </w:r>
          </w:p>
        </w:tc>
        <w:tc>
          <w:tcPr>
            <w:tcW w:w="2192"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8,518</w:t>
            </w:r>
          </w:p>
        </w:tc>
        <w:tc>
          <w:tcPr>
            <w:tcW w:w="2408"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1,056</w:t>
            </w:r>
          </w:p>
        </w:tc>
        <w:tc>
          <w:tcPr>
            <w:tcW w:w="2200" w:type="dxa"/>
          </w:tcPr>
          <w:p w:rsidR="00991FC5" w:rsidRPr="00B602C2" w:rsidRDefault="00991FC5" w:rsidP="00991FC5">
            <w:pPr>
              <w:spacing w:before="60" w:after="60"/>
              <w:jc w:val="center"/>
              <w:rPr>
                <w:rFonts w:ascii="Cambria" w:hAnsi="Cambria"/>
                <w:sz w:val="18"/>
                <w:szCs w:val="18"/>
              </w:rPr>
            </w:pPr>
            <w:r>
              <w:rPr>
                <w:rFonts w:ascii="Cambria" w:hAnsi="Cambria"/>
                <w:sz w:val="18"/>
                <w:szCs w:val="18"/>
              </w:rPr>
              <w:t>0.12</w:t>
            </w:r>
          </w:p>
        </w:tc>
      </w:tr>
      <w:tr w:rsidR="00991FC5" w:rsidRPr="00B602C2">
        <w:trPr>
          <w:trHeight w:val="229"/>
        </w:trPr>
        <w:tc>
          <w:tcPr>
            <w:tcW w:w="2272" w:type="dxa"/>
            <w:vAlign w:val="center"/>
          </w:tcPr>
          <w:p w:rsidR="00991FC5" w:rsidRPr="00B602C2" w:rsidRDefault="00991FC5" w:rsidP="00991FC5">
            <w:pPr>
              <w:spacing w:before="60" w:after="60"/>
              <w:jc w:val="center"/>
              <w:rPr>
                <w:rFonts w:ascii="Cambria" w:hAnsi="Cambria"/>
                <w:sz w:val="18"/>
                <w:szCs w:val="18"/>
              </w:rPr>
            </w:pPr>
            <w:r w:rsidRPr="00B602C2">
              <w:rPr>
                <w:rFonts w:ascii="Cambria" w:hAnsi="Cambria"/>
                <w:sz w:val="18"/>
                <w:szCs w:val="18"/>
              </w:rPr>
              <w:t>2025</w:t>
            </w:r>
          </w:p>
        </w:tc>
        <w:tc>
          <w:tcPr>
            <w:tcW w:w="2192"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8,953</w:t>
            </w:r>
          </w:p>
        </w:tc>
        <w:tc>
          <w:tcPr>
            <w:tcW w:w="2408"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1,142</w:t>
            </w:r>
          </w:p>
        </w:tc>
        <w:tc>
          <w:tcPr>
            <w:tcW w:w="2200" w:type="dxa"/>
          </w:tcPr>
          <w:p w:rsidR="00991FC5" w:rsidRPr="00B602C2" w:rsidRDefault="00991FC5" w:rsidP="00991FC5">
            <w:pPr>
              <w:spacing w:before="60" w:after="60"/>
              <w:jc w:val="center"/>
              <w:rPr>
                <w:rFonts w:ascii="Cambria" w:hAnsi="Cambria"/>
                <w:sz w:val="18"/>
                <w:szCs w:val="18"/>
              </w:rPr>
            </w:pPr>
            <w:r>
              <w:rPr>
                <w:rFonts w:ascii="Cambria" w:hAnsi="Cambria"/>
                <w:sz w:val="18"/>
                <w:szCs w:val="18"/>
              </w:rPr>
              <w:t>0.13</w:t>
            </w:r>
          </w:p>
        </w:tc>
      </w:tr>
      <w:tr w:rsidR="00991FC5" w:rsidRPr="00B602C2">
        <w:trPr>
          <w:trHeight w:val="246"/>
        </w:trPr>
        <w:tc>
          <w:tcPr>
            <w:tcW w:w="2272" w:type="dxa"/>
            <w:vAlign w:val="center"/>
          </w:tcPr>
          <w:p w:rsidR="00991FC5" w:rsidRPr="00B602C2" w:rsidRDefault="00991FC5" w:rsidP="00991FC5">
            <w:pPr>
              <w:spacing w:before="60" w:after="60"/>
              <w:jc w:val="center"/>
              <w:rPr>
                <w:rFonts w:ascii="Cambria" w:hAnsi="Cambria"/>
                <w:sz w:val="18"/>
                <w:szCs w:val="18"/>
              </w:rPr>
            </w:pPr>
            <w:r w:rsidRPr="00B602C2">
              <w:rPr>
                <w:rFonts w:ascii="Cambria" w:hAnsi="Cambria"/>
                <w:sz w:val="18"/>
                <w:szCs w:val="18"/>
              </w:rPr>
              <w:t>2030</w:t>
            </w:r>
          </w:p>
        </w:tc>
        <w:tc>
          <w:tcPr>
            <w:tcW w:w="2192"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9,409</w:t>
            </w:r>
          </w:p>
        </w:tc>
        <w:tc>
          <w:tcPr>
            <w:tcW w:w="2408"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1,253</w:t>
            </w:r>
          </w:p>
        </w:tc>
        <w:tc>
          <w:tcPr>
            <w:tcW w:w="2200" w:type="dxa"/>
          </w:tcPr>
          <w:p w:rsidR="00991FC5" w:rsidRPr="00B602C2" w:rsidRDefault="00991FC5" w:rsidP="00991FC5">
            <w:pPr>
              <w:spacing w:before="60" w:after="60"/>
              <w:jc w:val="center"/>
              <w:rPr>
                <w:rFonts w:ascii="Cambria" w:hAnsi="Cambria"/>
                <w:sz w:val="18"/>
                <w:szCs w:val="18"/>
              </w:rPr>
            </w:pPr>
            <w:r>
              <w:rPr>
                <w:rFonts w:ascii="Cambria" w:hAnsi="Cambria"/>
                <w:sz w:val="18"/>
                <w:szCs w:val="18"/>
              </w:rPr>
              <w:t>0.13</w:t>
            </w:r>
          </w:p>
        </w:tc>
      </w:tr>
      <w:tr w:rsidR="00991FC5" w:rsidRPr="00B602C2">
        <w:trPr>
          <w:trHeight w:val="246"/>
        </w:trPr>
        <w:tc>
          <w:tcPr>
            <w:tcW w:w="2272"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2035</w:t>
            </w:r>
          </w:p>
        </w:tc>
        <w:tc>
          <w:tcPr>
            <w:tcW w:w="2192"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9,889</w:t>
            </w:r>
          </w:p>
        </w:tc>
        <w:tc>
          <w:tcPr>
            <w:tcW w:w="2408" w:type="dxa"/>
            <w:vAlign w:val="center"/>
          </w:tcPr>
          <w:p w:rsidR="00991FC5" w:rsidRPr="00B602C2" w:rsidRDefault="00991FC5" w:rsidP="00991FC5">
            <w:pPr>
              <w:spacing w:before="60" w:after="60"/>
              <w:jc w:val="center"/>
              <w:rPr>
                <w:rFonts w:ascii="Cambria" w:hAnsi="Cambria"/>
                <w:sz w:val="18"/>
                <w:szCs w:val="18"/>
              </w:rPr>
            </w:pPr>
            <w:r>
              <w:rPr>
                <w:rFonts w:ascii="Cambria" w:hAnsi="Cambria"/>
                <w:sz w:val="18"/>
                <w:szCs w:val="18"/>
              </w:rPr>
              <w:t>1,340</w:t>
            </w:r>
          </w:p>
        </w:tc>
        <w:tc>
          <w:tcPr>
            <w:tcW w:w="2200" w:type="dxa"/>
          </w:tcPr>
          <w:p w:rsidR="00991FC5" w:rsidRPr="00B602C2" w:rsidRDefault="00991FC5" w:rsidP="00991FC5">
            <w:pPr>
              <w:spacing w:before="60" w:after="60"/>
              <w:jc w:val="center"/>
              <w:rPr>
                <w:rFonts w:ascii="Cambria" w:hAnsi="Cambria"/>
                <w:sz w:val="18"/>
                <w:szCs w:val="18"/>
              </w:rPr>
            </w:pPr>
            <w:r>
              <w:rPr>
                <w:rFonts w:ascii="Cambria" w:hAnsi="Cambria"/>
                <w:sz w:val="18"/>
                <w:szCs w:val="18"/>
              </w:rPr>
              <w:t>0.14</w:t>
            </w:r>
          </w:p>
        </w:tc>
      </w:tr>
    </w:tbl>
    <w:p w:rsidR="00991FC5" w:rsidRPr="00B602C2" w:rsidRDefault="00991FC5" w:rsidP="00991FC5">
      <w:pPr>
        <w:spacing w:after="0"/>
        <w:rPr>
          <w:sz w:val="18"/>
          <w:szCs w:val="18"/>
        </w:rPr>
      </w:pPr>
      <w:r w:rsidRPr="00B602C2">
        <w:rPr>
          <w:sz w:val="18"/>
          <w:szCs w:val="18"/>
        </w:rPr>
        <w:t xml:space="preserve">Source: </w:t>
      </w:r>
      <w:r>
        <w:rPr>
          <w:sz w:val="18"/>
          <w:szCs w:val="18"/>
        </w:rPr>
        <w:t>Cotati</w:t>
      </w:r>
      <w:r w:rsidRPr="00B602C2">
        <w:rPr>
          <w:sz w:val="18"/>
          <w:szCs w:val="18"/>
        </w:rPr>
        <w:t xml:space="preserve"> 2010 UWMP, Pages 3-</w:t>
      </w:r>
      <w:r>
        <w:rPr>
          <w:sz w:val="18"/>
          <w:szCs w:val="18"/>
        </w:rPr>
        <w:t>12</w:t>
      </w:r>
      <w:r w:rsidRPr="00B602C2">
        <w:rPr>
          <w:sz w:val="18"/>
          <w:szCs w:val="18"/>
        </w:rPr>
        <w:t xml:space="preserve"> through 3-</w:t>
      </w:r>
      <w:r>
        <w:rPr>
          <w:sz w:val="18"/>
          <w:szCs w:val="18"/>
        </w:rPr>
        <w:t>14</w:t>
      </w:r>
      <w:r w:rsidRPr="00B602C2">
        <w:rPr>
          <w:sz w:val="18"/>
          <w:szCs w:val="18"/>
        </w:rPr>
        <w:t>, Tables 3</w:t>
      </w:r>
      <w:r>
        <w:rPr>
          <w:sz w:val="18"/>
          <w:szCs w:val="18"/>
        </w:rPr>
        <w:t>.7</w:t>
      </w:r>
      <w:r w:rsidRPr="00B602C2">
        <w:rPr>
          <w:sz w:val="18"/>
          <w:szCs w:val="18"/>
        </w:rPr>
        <w:t xml:space="preserve"> through </w:t>
      </w:r>
      <w:r>
        <w:rPr>
          <w:sz w:val="18"/>
          <w:szCs w:val="18"/>
        </w:rPr>
        <w:t>3.11</w:t>
      </w:r>
    </w:p>
    <w:p w:rsidR="00991FC5" w:rsidRPr="00B602C2" w:rsidRDefault="00991FC5" w:rsidP="00991FC5">
      <w:pPr>
        <w:autoSpaceDE w:val="0"/>
        <w:autoSpaceDN w:val="0"/>
        <w:adjustRightInd w:val="0"/>
        <w:spacing w:after="0" w:line="240" w:lineRule="auto"/>
        <w:jc w:val="left"/>
        <w:rPr>
          <w:sz w:val="18"/>
          <w:szCs w:val="18"/>
        </w:rPr>
      </w:pPr>
      <w:r w:rsidRPr="00B602C2">
        <w:rPr>
          <w:rFonts w:cs="Arial"/>
          <w:sz w:val="18"/>
          <w:szCs w:val="18"/>
        </w:rPr>
        <w:t xml:space="preserve">Notes: </w:t>
      </w:r>
      <w:r w:rsidRPr="00B602C2">
        <w:rPr>
          <w:rFonts w:cs="Calibri"/>
          <w:sz w:val="18"/>
          <w:szCs w:val="18"/>
        </w:rPr>
        <w:t xml:space="preserve">Water accounts and total volume of water delivered for years 2005 and 2010 are based on metered </w:t>
      </w:r>
      <w:r>
        <w:rPr>
          <w:rFonts w:cs="Calibri"/>
          <w:sz w:val="18"/>
          <w:szCs w:val="18"/>
        </w:rPr>
        <w:t xml:space="preserve">consumption data </w:t>
      </w:r>
      <w:r w:rsidRPr="00B602C2">
        <w:rPr>
          <w:rFonts w:cs="Calibri"/>
          <w:sz w:val="18"/>
          <w:szCs w:val="18"/>
        </w:rPr>
        <w:t xml:space="preserve">within the </w:t>
      </w:r>
      <w:r>
        <w:rPr>
          <w:rFonts w:cs="Calibri"/>
          <w:sz w:val="18"/>
          <w:szCs w:val="18"/>
        </w:rPr>
        <w:t>Cotati service area</w:t>
      </w:r>
      <w:r w:rsidRPr="00B602C2">
        <w:rPr>
          <w:rFonts w:cs="Calibri"/>
          <w:sz w:val="18"/>
          <w:szCs w:val="18"/>
        </w:rPr>
        <w:t xml:space="preserve">. </w:t>
      </w:r>
      <w:r>
        <w:rPr>
          <w:rFonts w:cs="Calibri"/>
          <w:sz w:val="18"/>
          <w:szCs w:val="18"/>
        </w:rPr>
        <w:t>W</w:t>
      </w:r>
      <w:r w:rsidRPr="00B602C2">
        <w:rPr>
          <w:rFonts w:cs="Calibri"/>
          <w:sz w:val="18"/>
          <w:szCs w:val="18"/>
        </w:rPr>
        <w:t>ater volume deliveries for 2015</w:t>
      </w:r>
      <w:r>
        <w:rPr>
          <w:rFonts w:cs="Calibri"/>
          <w:sz w:val="18"/>
          <w:szCs w:val="18"/>
        </w:rPr>
        <w:t xml:space="preserve"> through 2035</w:t>
      </w:r>
      <w:r w:rsidRPr="00B602C2">
        <w:rPr>
          <w:rFonts w:cs="Calibri"/>
          <w:sz w:val="18"/>
          <w:szCs w:val="18"/>
        </w:rPr>
        <w:t xml:space="preserve"> are based on projections contained in the 2010 UWMP.  </w:t>
      </w:r>
    </w:p>
    <w:p w:rsidR="00991FC5" w:rsidRDefault="00991FC5" w:rsidP="00991FC5"/>
    <w:p w:rsidR="00991FC5" w:rsidRDefault="00991FC5" w:rsidP="00991FC5">
      <w:r w:rsidRPr="00261D83">
        <w:t xml:space="preserve">The </w:t>
      </w:r>
      <w:r>
        <w:t>City of Cotati</w:t>
      </w:r>
      <w:r w:rsidRPr="00261D83">
        <w:t xml:space="preserve"> provides water services to all users within the City</w:t>
      </w:r>
      <w:r w:rsidRPr="00F83B38">
        <w:t xml:space="preserve">, and would provide water services to any future development that may occur following implementation of the </w:t>
      </w:r>
      <w:r>
        <w:t>2013 General Plan.</w:t>
      </w:r>
    </w:p>
    <w:p w:rsidR="00991FC5" w:rsidRDefault="00991FC5" w:rsidP="00991FC5">
      <w:r>
        <w:t xml:space="preserve">In order to project future water demands associated with General Plan buildout, water demand is tied to population growth, and the average per capita water demand generated by that new population growth. </w:t>
      </w:r>
      <w:r w:rsidRPr="0065616C">
        <w:t xml:space="preserve">The average per capita water demand between 2005 and 2035, as shown in Table 3.13-3 above, is 0.126 AFY, which equates to 112.4 gallons per person per day. </w:t>
      </w:r>
      <w:r w:rsidR="001026BD">
        <w:t xml:space="preserve">However, in the year 2035, which is the buildout analysis year for the General Plan, the 2010 UWMP assumes a per capita demand of 0.14 AFY.  Therefore, this analysis of water demand is based on the per capita use of 0.14 AFY.  </w:t>
      </w:r>
      <w:r w:rsidRPr="0065616C">
        <w:t xml:space="preserve">The 2013 General Plan would accommodate a broad range of uses, so the use of a per capita figure is intended to provide an average figure that approximates the average water demand associated with the range of uses that could occur in the Cotati Planning Area upon full buildout of the 2013 General Plan. </w:t>
      </w:r>
    </w:p>
    <w:p w:rsidR="00991FC5" w:rsidRDefault="00991FC5" w:rsidP="00991FC5">
      <w:r>
        <w:t xml:space="preserve">According to the California Department of Finance’s population estimates, the 2013 population of the City of Cotati was 7,310.  As described above, buildout of the 2013 General Plan within the City limits could increase population growth in the City by up to 3,775 residents, resulting in a total population within the City limits at buildout of 11,085 residents.  Within the entire Planning Area, the total population may reach up to 12,553 residents.  These population projections associated with General Plan buildout exceed the population projections used for 2035 water demand estimates in the 2010 Cotati Urban Water Management Plan.  </w:t>
      </w:r>
    </w:p>
    <w:p w:rsidR="004D7D3A" w:rsidRDefault="00991FC5" w:rsidP="00991FC5">
      <w:r>
        <w:lastRenderedPageBreak/>
        <w:t>Utilizing the water usage rate of 0.1</w:t>
      </w:r>
      <w:r w:rsidR="001026BD">
        <w:t>4</w:t>
      </w:r>
      <w:r>
        <w:t xml:space="preserve"> AFY per capita, at General Plan buildout within the existing City limits, the total water demand would </w:t>
      </w:r>
      <w:r w:rsidRPr="008E3E91">
        <w:t>be 1,</w:t>
      </w:r>
      <w:r w:rsidR="001026BD">
        <w:t>551.9</w:t>
      </w:r>
      <w:r>
        <w:t xml:space="preserve"> AFY (11,085 x 0.1</w:t>
      </w:r>
      <w:r w:rsidR="001026BD">
        <w:t>4</w:t>
      </w:r>
      <w:r>
        <w:t xml:space="preserve">).  Full buildout of the Planning Area would result in a water demand </w:t>
      </w:r>
      <w:r w:rsidRPr="008E3E91">
        <w:t xml:space="preserve">of </w:t>
      </w:r>
      <w:r w:rsidRPr="00250AF7">
        <w:t>1,</w:t>
      </w:r>
      <w:r w:rsidR="001026BD">
        <w:t>757.42</w:t>
      </w:r>
      <w:r w:rsidRPr="0089104F">
        <w:t xml:space="preserve"> </w:t>
      </w:r>
      <w:r w:rsidRPr="0049444C">
        <w:t>AFY</w:t>
      </w:r>
      <w:r>
        <w:t xml:space="preserve">   (12,553 x 0.1</w:t>
      </w:r>
      <w:r w:rsidR="001026BD">
        <w:t>4</w:t>
      </w:r>
      <w:r>
        <w:t>).  As shown above in Table 3.13-1, in 2035 the projected water supply available to the City of Cotati in 2035 is 2,076 AFY</w:t>
      </w:r>
      <w:r w:rsidR="004D7D3A">
        <w:t>, which exceeds the projected water demand associated with full buildout of the General Plan, including the Planning Area</w:t>
      </w:r>
      <w:r>
        <w:t>.  So while the proposed 2013 General Plan would exceed the population projections used in the 2010 Cotati Urban Water Management Plan, the projected water demand associated within buildout of the 2013 General Plan would not exceed the City’s projected 2035 water supply.</w:t>
      </w:r>
    </w:p>
    <w:p w:rsidR="004D7D3A" w:rsidRDefault="004D7D3A" w:rsidP="004D7D3A">
      <w:r w:rsidRPr="004D7D3A">
        <w:t>The reliability of the City's water sources is dependent on the SCWA's ability deliver water</w:t>
      </w:r>
      <w:r>
        <w:t xml:space="preserve"> </w:t>
      </w:r>
      <w:r w:rsidRPr="004D7D3A">
        <w:t>supplies based on flow from the Russian River. The City's wholesale water supply provided</w:t>
      </w:r>
      <w:r>
        <w:t xml:space="preserve"> </w:t>
      </w:r>
      <w:r w:rsidRPr="004D7D3A">
        <w:t>by SCWA is subject to dry year reductions, due to seasonal and climatic shortages,</w:t>
      </w:r>
      <w:r>
        <w:t xml:space="preserve"> </w:t>
      </w:r>
      <w:r w:rsidRPr="004D7D3A">
        <w:t>pursuant to the State Water Board’s Decision 1610. Demand curtailments are required to</w:t>
      </w:r>
      <w:r>
        <w:t xml:space="preserve"> </w:t>
      </w:r>
      <w:r w:rsidRPr="004D7D3A">
        <w:t>be entailed by 30 percent for a portion of the year if the water volume in Lake Sonoma is</w:t>
      </w:r>
      <w:r>
        <w:t xml:space="preserve"> </w:t>
      </w:r>
      <w:r w:rsidRPr="004D7D3A">
        <w:t>less than 100,000 AF prior to July 15, per Decision 1610. As described in the SCWA 2010 UWMP, this condition has not been experienced on the Russian River system, but the SCWA modeling simulations for single-dry years predict that the storage levels in Lake Sonoma will fall below the 100,000 AF prior to July 15. Therefore, the SCWA projects that demand curtailments will be required for a portion of the year. Single-dry year reductions are predicted to reach 18 percent of normal demand by the year 2035.</w:t>
      </w:r>
      <w:r w:rsidR="00991FC5">
        <w:t xml:space="preserve">  </w:t>
      </w:r>
      <w:r>
        <w:t xml:space="preserve">As of August 2014, the storage levels in Lake Sonoma are at approximately 64% of capacity, slightly over 150,000 acre-feet.  </w:t>
      </w:r>
    </w:p>
    <w:p w:rsidR="00991FC5" w:rsidRDefault="004D7D3A" w:rsidP="004D7D3A">
      <w:r w:rsidRPr="004D7D3A">
        <w:t>The City can supplement possible SCWA supply reductions with groundwater use. The</w:t>
      </w:r>
      <w:r>
        <w:t xml:space="preserve"> </w:t>
      </w:r>
      <w:r w:rsidRPr="004D7D3A">
        <w:t>City’s historic water use records show that groundwater levels have not declined and the</w:t>
      </w:r>
      <w:r>
        <w:t xml:space="preserve"> </w:t>
      </w:r>
      <w:r w:rsidRPr="004D7D3A">
        <w:t>City can reliably supply historic demands with the use of groundwater</w:t>
      </w:r>
      <w:r>
        <w:t xml:space="preserve"> (2010 UWMP)</w:t>
      </w:r>
      <w:r w:rsidRPr="004D7D3A">
        <w:t>. The City is using an</w:t>
      </w:r>
      <w:r>
        <w:t xml:space="preserve"> </w:t>
      </w:r>
      <w:r w:rsidRPr="004D7D3A">
        <w:t>annual maximum extraction volume of 530 AFY for production capacity of their three</w:t>
      </w:r>
      <w:r>
        <w:t xml:space="preserve"> </w:t>
      </w:r>
      <w:r w:rsidRPr="004D7D3A">
        <w:t xml:space="preserve">groundwater wells, per the 2008 </w:t>
      </w:r>
      <w:proofErr w:type="spellStart"/>
      <w:r w:rsidRPr="004D7D3A">
        <w:t>Luhdorff</w:t>
      </w:r>
      <w:proofErr w:type="spellEnd"/>
      <w:r w:rsidRPr="004D7D3A">
        <w:t xml:space="preserve"> and </w:t>
      </w:r>
      <w:proofErr w:type="spellStart"/>
      <w:r w:rsidRPr="004D7D3A">
        <w:t>Scalmanini</w:t>
      </w:r>
      <w:proofErr w:type="spellEnd"/>
      <w:r w:rsidRPr="004D7D3A">
        <w:t xml:space="preserve"> report. Due to the storage volume</w:t>
      </w:r>
      <w:r>
        <w:t xml:space="preserve"> </w:t>
      </w:r>
      <w:r w:rsidRPr="004D7D3A">
        <w:t>available within the Santa Rosa Plain groundwater basin, it is not anticipated that groundwater supply would be affected in multiple-dry years. This is further explained in</w:t>
      </w:r>
      <w:r>
        <w:t xml:space="preserve"> </w:t>
      </w:r>
      <w:r w:rsidRPr="004D7D3A">
        <w:t>Section 5.4, Drought Planning of the 2010 UWMP.</w:t>
      </w:r>
    </w:p>
    <w:p w:rsidR="00991FC5" w:rsidRDefault="00991FC5" w:rsidP="00991FC5">
      <w:pPr>
        <w:rPr>
          <w:bCs/>
        </w:rPr>
      </w:pPr>
      <w:r w:rsidRPr="00356696">
        <w:t xml:space="preserve">The 2013 General Plan includes policies and actions designed to ensure an adequate water supply for development and to minimize the potential adverse effects of increased water use. </w:t>
      </w:r>
      <w:r>
        <w:t>Policy CSF 2.2 requires that p</w:t>
      </w:r>
      <w:r w:rsidRPr="00571E46">
        <w:t>rior to the approval of development, infrastructure, Specific Plans, or other projects that would result in increased demand for public water conveyance and treatment, projects must demonstrate proof of adequate water supply (e.g., that existing services are adequate to accommodate the increased demand, or improvements to the capacity of the system to meet increased demand will be made prior to project implementation) and that potential cumulative impacts to water users and the environment will be addressed.</w:t>
      </w:r>
      <w:r>
        <w:t xml:space="preserve">  Policy CSF 2.6 calls for the City to </w:t>
      </w:r>
      <w:r>
        <w:rPr>
          <w:bCs/>
        </w:rPr>
        <w:t>c</w:t>
      </w:r>
      <w:r w:rsidRPr="00571E46">
        <w:rPr>
          <w:bCs/>
        </w:rPr>
        <w:t xml:space="preserve">ontinue to work with the Sonoma County Water Agency (SCWA) to maintain water </w:t>
      </w:r>
      <w:r w:rsidRPr="00EC4B66">
        <w:t>supply</w:t>
      </w:r>
      <w:r w:rsidRPr="00571E46">
        <w:rPr>
          <w:bCs/>
        </w:rPr>
        <w:t xml:space="preserve"> agreements to ensure an adequate water supply for the City.</w:t>
      </w:r>
      <w:r>
        <w:rPr>
          <w:bCs/>
        </w:rPr>
        <w:t xml:space="preserve">  Policy CSF 2.9 requires the City to r</w:t>
      </w:r>
      <w:r w:rsidRPr="00571E46">
        <w:rPr>
          <w:bCs/>
        </w:rPr>
        <w:t xml:space="preserve">outinely assess the City’s ability to meet demand for potable water by periodically </w:t>
      </w:r>
      <w:r w:rsidRPr="00EC4B66">
        <w:t>updating</w:t>
      </w:r>
      <w:r w:rsidRPr="00571E46">
        <w:rPr>
          <w:bCs/>
        </w:rPr>
        <w:t xml:space="preserve"> the Water Master Plan.</w:t>
      </w:r>
      <w:r>
        <w:rPr>
          <w:bCs/>
        </w:rPr>
        <w:t xml:space="preserve">  The 2013 General Plan also includes a range of policies and </w:t>
      </w:r>
      <w:r>
        <w:rPr>
          <w:bCs/>
        </w:rPr>
        <w:lastRenderedPageBreak/>
        <w:t xml:space="preserve">actions that call for continued and ongoing water conservation measures, and measures to increase the availability and use of recycled water in order to decrease water supply demands from existing sources.  </w:t>
      </w:r>
    </w:p>
    <w:p w:rsidR="00991FC5" w:rsidRPr="007603B7" w:rsidRDefault="00991FC5" w:rsidP="00991FC5">
      <w:r>
        <w:rPr>
          <w:bCs/>
        </w:rPr>
        <w:t xml:space="preserve">Given that projected water demands associated with General Plan buildout would not exceed the projected water supplies described in the 2010 Cotati Urban Water Management Plan, and that the 2013 General Plan includes a comprehensive set of goals, policies and actions to ensure an adequate and reliable source of clean potable water, impacts associated with water supplies are </w:t>
      </w:r>
      <w:r w:rsidRPr="00356696">
        <w:rPr>
          <w:b/>
          <w:bCs/>
        </w:rPr>
        <w:t>less than significant.</w:t>
      </w:r>
      <w:r>
        <w:rPr>
          <w:bCs/>
        </w:rPr>
        <w:t xml:space="preserve">  The policies and actions listed below would further assist in ensuring that </w:t>
      </w:r>
      <w:r w:rsidRPr="007603B7">
        <w:rPr>
          <w:bCs/>
        </w:rPr>
        <w:t xml:space="preserve">adequate water supplies are available to serve new growth projected under the 2013 General Plan.  </w:t>
      </w:r>
    </w:p>
    <w:p w:rsidR="00991FC5" w:rsidRPr="007603B7" w:rsidRDefault="00991FC5" w:rsidP="00991FC5">
      <w:pPr>
        <w:pStyle w:val="Heading5"/>
        <w:spacing w:after="120"/>
        <w:rPr>
          <w:b/>
        </w:rPr>
      </w:pPr>
      <w:r w:rsidRPr="007603B7">
        <w:rPr>
          <w:b/>
        </w:rPr>
        <w:t>2013 General Plan Policies and Actions that Mitigate Potential Impacts</w:t>
      </w:r>
    </w:p>
    <w:p w:rsidR="00991FC5" w:rsidRPr="007603B7" w:rsidRDefault="00991FC5" w:rsidP="00991FC5">
      <w:pPr>
        <w:pStyle w:val="Action"/>
        <w:ind w:left="0"/>
        <w:rPr>
          <w:u w:val="single"/>
        </w:rPr>
      </w:pPr>
      <w:r w:rsidRPr="007603B7">
        <w:rPr>
          <w:u w:val="single"/>
        </w:rPr>
        <w:t>Policies</w:t>
      </w:r>
    </w:p>
    <w:p w:rsidR="00991FC5" w:rsidRPr="007603B7" w:rsidRDefault="00991FC5" w:rsidP="00991FC5">
      <w:pPr>
        <w:pStyle w:val="Policy"/>
        <w:ind w:left="0"/>
        <w:rPr>
          <w:bCs w:val="0"/>
          <w:i/>
        </w:rPr>
      </w:pPr>
      <w:r w:rsidRPr="007603B7">
        <w:rPr>
          <w:b/>
          <w:i/>
        </w:rPr>
        <w:t>Policy CSF 1.1:</w:t>
      </w:r>
      <w:r w:rsidRPr="007603B7">
        <w:rPr>
          <w:bCs w:val="0"/>
          <w:i/>
        </w:rPr>
        <w:t xml:space="preserve"> Require all development projects to demonstrate, to the satisfaction of the City Engineer, that the City’s public services and utilities can accommodate the </w:t>
      </w:r>
      <w:r w:rsidRPr="007603B7">
        <w:rPr>
          <w:i/>
        </w:rPr>
        <w:t>increased</w:t>
      </w:r>
      <w:r w:rsidRPr="007603B7">
        <w:rPr>
          <w:bCs w:val="0"/>
          <w:i/>
        </w:rPr>
        <w:t xml:space="preserve"> demand for services associated with the project.</w:t>
      </w:r>
    </w:p>
    <w:p w:rsidR="00991FC5" w:rsidRPr="007603B7" w:rsidRDefault="00991FC5" w:rsidP="00991FC5">
      <w:pPr>
        <w:pStyle w:val="Policy"/>
        <w:ind w:left="0"/>
        <w:rPr>
          <w:bCs w:val="0"/>
          <w:i/>
        </w:rPr>
      </w:pPr>
      <w:r w:rsidRPr="007603B7">
        <w:rPr>
          <w:b/>
          <w:i/>
        </w:rPr>
        <w:t>Policy CSF 1.2:</w:t>
      </w:r>
      <w:r w:rsidRPr="007603B7">
        <w:rPr>
          <w:bCs w:val="0"/>
          <w:i/>
        </w:rPr>
        <w:tab/>
        <w:t xml:space="preserve">Require new development to offset or mitigate impacts to public services and </w:t>
      </w:r>
      <w:r w:rsidRPr="007603B7">
        <w:rPr>
          <w:i/>
        </w:rPr>
        <w:t>facilities</w:t>
      </w:r>
      <w:r w:rsidRPr="007603B7">
        <w:rPr>
          <w:bCs w:val="0"/>
          <w:i/>
        </w:rPr>
        <w:t xml:space="preserve"> to ensure that service levels for existing users are not degraded or impaired by new development, to the satisfaction of the City Engineer.  </w:t>
      </w:r>
    </w:p>
    <w:p w:rsidR="00991FC5" w:rsidRPr="007603B7" w:rsidRDefault="00991FC5" w:rsidP="00991FC5">
      <w:pPr>
        <w:pStyle w:val="Policy"/>
        <w:ind w:left="0"/>
        <w:rPr>
          <w:bCs w:val="0"/>
          <w:i/>
        </w:rPr>
      </w:pPr>
      <w:r w:rsidRPr="007603B7">
        <w:rPr>
          <w:b/>
          <w:i/>
        </w:rPr>
        <w:t>Policy CSF 1.3:</w:t>
      </w:r>
      <w:r w:rsidRPr="007603B7">
        <w:rPr>
          <w:bCs w:val="0"/>
          <w:i/>
        </w:rPr>
        <w:t xml:space="preserve"> Limit approvals of new development to areas where adequate infrastructure and services are available or will be provided by the development.   </w:t>
      </w:r>
    </w:p>
    <w:p w:rsidR="00991FC5" w:rsidRPr="007603B7" w:rsidRDefault="00991FC5" w:rsidP="00991FC5">
      <w:pPr>
        <w:pStyle w:val="Policy"/>
        <w:ind w:left="0"/>
        <w:rPr>
          <w:bCs w:val="0"/>
          <w:i/>
        </w:rPr>
      </w:pPr>
      <w:r w:rsidRPr="007603B7">
        <w:rPr>
          <w:b/>
          <w:i/>
        </w:rPr>
        <w:t>Policy CSF 1.4:</w:t>
      </w:r>
      <w:r w:rsidRPr="007603B7">
        <w:rPr>
          <w:bCs w:val="0"/>
          <w:i/>
        </w:rPr>
        <w:t xml:space="preserve"> Maintain development fees at a sufficient level to finance infrastructure costs.</w:t>
      </w:r>
    </w:p>
    <w:p w:rsidR="00991FC5" w:rsidRPr="007603B7" w:rsidRDefault="00991FC5" w:rsidP="00991FC5">
      <w:pPr>
        <w:pStyle w:val="Policy"/>
        <w:ind w:left="0"/>
        <w:rPr>
          <w:bCs w:val="0"/>
          <w:i/>
        </w:rPr>
      </w:pPr>
      <w:r w:rsidRPr="007603B7">
        <w:rPr>
          <w:b/>
          <w:i/>
        </w:rPr>
        <w:t>Policy CSF 1.5:</w:t>
      </w:r>
      <w:r w:rsidRPr="007603B7">
        <w:rPr>
          <w:bCs w:val="0"/>
          <w:i/>
        </w:rPr>
        <w:t xml:space="preserve"> As new areas are considered for annexation and development, priority for public services and facilities shall be given to existing development within the annexation area not currently served by City services.</w:t>
      </w:r>
    </w:p>
    <w:p w:rsidR="00991FC5" w:rsidRPr="007603B7" w:rsidRDefault="00991FC5" w:rsidP="00991FC5">
      <w:pPr>
        <w:pStyle w:val="Policy"/>
        <w:ind w:left="0"/>
        <w:rPr>
          <w:bCs w:val="0"/>
          <w:i/>
        </w:rPr>
      </w:pPr>
      <w:r w:rsidRPr="007603B7">
        <w:rPr>
          <w:b/>
          <w:i/>
        </w:rPr>
        <w:t>Policy CSF 1.6:</w:t>
      </w:r>
      <w:r w:rsidRPr="007603B7">
        <w:rPr>
          <w:bCs w:val="0"/>
          <w:i/>
        </w:rPr>
        <w:tab/>
        <w:t xml:space="preserve">Require development, infrastructure, and long-term planning projects to be consistent with all applicable City plans and programs related to public services and facilities, including but not limited to the Water Master Plan, the Sanitary Sewer Master Plan and the Capital Improvement Plan.  New projects shall assist with the implementation of these plans through the provision of fair-share payments, construction of improvements, or other means identified as appropriate by the City Engineer.  </w:t>
      </w:r>
    </w:p>
    <w:p w:rsidR="00991FC5" w:rsidRPr="007603B7" w:rsidRDefault="00991FC5" w:rsidP="00991FC5">
      <w:pPr>
        <w:pStyle w:val="Policy"/>
        <w:ind w:left="0"/>
        <w:rPr>
          <w:i/>
        </w:rPr>
      </w:pPr>
      <w:r w:rsidRPr="007603B7">
        <w:rPr>
          <w:b/>
          <w:i/>
        </w:rPr>
        <w:t>Policy CSF 2.1:</w:t>
      </w:r>
      <w:r w:rsidRPr="007603B7">
        <w:rPr>
          <w:b/>
          <w:i/>
        </w:rPr>
        <w:tab/>
      </w:r>
      <w:r w:rsidRPr="007603B7">
        <w:rPr>
          <w:i/>
        </w:rPr>
        <w:t xml:space="preserve">Continuously implement a comprehensive water strategy that balances the need to supply potable and non-potable water supplies to all users served by the City with water use reduction strategies and strategies to increase the use of </w:t>
      </w:r>
      <w:r>
        <w:rPr>
          <w:i/>
        </w:rPr>
        <w:t xml:space="preserve">alternative </w:t>
      </w:r>
      <w:r w:rsidRPr="007603B7">
        <w:rPr>
          <w:i/>
        </w:rPr>
        <w:t xml:space="preserve">water supplies.  </w:t>
      </w:r>
    </w:p>
    <w:p w:rsidR="00991FC5" w:rsidRPr="007603B7" w:rsidRDefault="00991FC5" w:rsidP="00991FC5">
      <w:pPr>
        <w:pStyle w:val="Policy"/>
        <w:ind w:left="0"/>
        <w:rPr>
          <w:b/>
          <w:i/>
        </w:rPr>
      </w:pPr>
      <w:r w:rsidRPr="007603B7">
        <w:rPr>
          <w:b/>
          <w:i/>
        </w:rPr>
        <w:t>Policy CSF 2.2:</w:t>
      </w:r>
      <w:r w:rsidRPr="007603B7">
        <w:rPr>
          <w:b/>
          <w:i/>
        </w:rPr>
        <w:tab/>
      </w:r>
      <w:r w:rsidRPr="00B64371">
        <w:rPr>
          <w:i/>
        </w:rPr>
        <w:t xml:space="preserve">Prior to the approval of development, infrastructure, Specific Plans, or other projects that would result in increased demand for public water production, conveyance, treatment or storage, project proponents must demonstrate proof of adequate water supply (e.g., that existing services are adequate to accommodate the increased demand, or improvements to the </w:t>
      </w:r>
      <w:r w:rsidRPr="00B64371">
        <w:rPr>
          <w:i/>
        </w:rPr>
        <w:lastRenderedPageBreak/>
        <w:t>capacity of the system to meet increased demand will be made prior to project implementation) and that potential cumulative impacts to water users and the environment will be addressed.</w:t>
      </w:r>
    </w:p>
    <w:p w:rsidR="00991FC5" w:rsidRPr="007603B7" w:rsidRDefault="00991FC5" w:rsidP="00991FC5">
      <w:pPr>
        <w:pStyle w:val="Policy"/>
        <w:ind w:left="0"/>
        <w:rPr>
          <w:bCs w:val="0"/>
          <w:i/>
        </w:rPr>
      </w:pPr>
      <w:r w:rsidRPr="007603B7">
        <w:rPr>
          <w:b/>
          <w:i/>
        </w:rPr>
        <w:t>Policy: CSF 2.3</w:t>
      </w:r>
      <w:r w:rsidRPr="007603B7">
        <w:rPr>
          <w:bCs w:val="0"/>
          <w:i/>
        </w:rPr>
        <w:t xml:space="preserve"> </w:t>
      </w:r>
      <w:r w:rsidRPr="007603B7">
        <w:rPr>
          <w:i/>
        </w:rPr>
        <w:t>Ensure</w:t>
      </w:r>
      <w:r w:rsidRPr="007603B7">
        <w:rPr>
          <w:bCs w:val="0"/>
          <w:i/>
        </w:rPr>
        <w:t xml:space="preserve"> the water system and supply is adequate to match rate of development. </w:t>
      </w:r>
    </w:p>
    <w:p w:rsidR="00991FC5" w:rsidRPr="007603B7" w:rsidRDefault="00991FC5" w:rsidP="00991FC5">
      <w:pPr>
        <w:pStyle w:val="Policy"/>
        <w:ind w:left="0"/>
        <w:rPr>
          <w:i/>
        </w:rPr>
      </w:pPr>
      <w:r w:rsidRPr="007603B7">
        <w:rPr>
          <w:b/>
          <w:i/>
        </w:rPr>
        <w:t>Policy CSF 2.4:</w:t>
      </w:r>
      <w:r w:rsidRPr="007603B7">
        <w:rPr>
          <w:bCs w:val="0"/>
          <w:i/>
        </w:rPr>
        <w:tab/>
      </w:r>
      <w:r w:rsidRPr="007603B7">
        <w:rPr>
          <w:i/>
        </w:rPr>
        <w:t>Priority is given to serving existing water uses over new water uses.</w:t>
      </w:r>
    </w:p>
    <w:p w:rsidR="00991FC5" w:rsidRPr="007603B7" w:rsidRDefault="00991FC5" w:rsidP="00991FC5">
      <w:pPr>
        <w:pStyle w:val="Policy"/>
        <w:ind w:left="0"/>
        <w:rPr>
          <w:i/>
        </w:rPr>
      </w:pPr>
      <w:r w:rsidRPr="007603B7">
        <w:rPr>
          <w:b/>
          <w:i/>
        </w:rPr>
        <w:t>Policy CSF 2.5:</w:t>
      </w:r>
      <w:r w:rsidRPr="007603B7">
        <w:rPr>
          <w:i/>
        </w:rPr>
        <w:tab/>
        <w:t>Prioritize water system improvements to areas identified for economic growth (commercial and industrial development as well as related housing) in the next 5-10 years.</w:t>
      </w:r>
    </w:p>
    <w:p w:rsidR="00991FC5" w:rsidRPr="007603B7" w:rsidRDefault="00991FC5" w:rsidP="00991FC5">
      <w:pPr>
        <w:pStyle w:val="Policy"/>
        <w:ind w:left="0"/>
        <w:rPr>
          <w:bCs w:val="0"/>
          <w:i/>
        </w:rPr>
      </w:pPr>
      <w:r w:rsidRPr="007603B7">
        <w:rPr>
          <w:b/>
          <w:i/>
        </w:rPr>
        <w:t>Policy CSF 2.6:</w:t>
      </w:r>
      <w:r w:rsidRPr="007603B7">
        <w:rPr>
          <w:bCs w:val="0"/>
          <w:i/>
        </w:rPr>
        <w:tab/>
        <w:t xml:space="preserve">Continue to work with the Sonoma County Water Agency (SCWA) to maintain water </w:t>
      </w:r>
      <w:r w:rsidRPr="007603B7">
        <w:rPr>
          <w:i/>
        </w:rPr>
        <w:t>supply</w:t>
      </w:r>
      <w:r w:rsidRPr="007603B7">
        <w:rPr>
          <w:bCs w:val="0"/>
          <w:i/>
        </w:rPr>
        <w:t xml:space="preserve"> agreements to ensure an adequate water supply for the City.  </w:t>
      </w:r>
    </w:p>
    <w:p w:rsidR="00991FC5" w:rsidRPr="007603B7" w:rsidRDefault="00991FC5" w:rsidP="00991FC5">
      <w:pPr>
        <w:pStyle w:val="Policy"/>
        <w:ind w:left="0"/>
        <w:rPr>
          <w:bCs w:val="0"/>
          <w:i/>
        </w:rPr>
      </w:pPr>
      <w:r w:rsidRPr="007603B7">
        <w:rPr>
          <w:b/>
          <w:i/>
        </w:rPr>
        <w:t>Policy CSF 2.7:</w:t>
      </w:r>
      <w:r w:rsidRPr="007603B7">
        <w:rPr>
          <w:bCs w:val="0"/>
          <w:i/>
        </w:rPr>
        <w:tab/>
        <w:t xml:space="preserve">Support SCWA efforts to increase permitted surface water diversion rights from the </w:t>
      </w:r>
      <w:r w:rsidRPr="007603B7">
        <w:rPr>
          <w:i/>
        </w:rPr>
        <w:t>Russian</w:t>
      </w:r>
      <w:r w:rsidRPr="007603B7">
        <w:rPr>
          <w:bCs w:val="0"/>
          <w:i/>
        </w:rPr>
        <w:t xml:space="preserve"> River</w:t>
      </w:r>
      <w:r>
        <w:rPr>
          <w:bCs w:val="0"/>
          <w:i/>
        </w:rPr>
        <w:t>, as necessary to support future growth</w:t>
      </w:r>
      <w:r w:rsidRPr="007603B7">
        <w:rPr>
          <w:bCs w:val="0"/>
          <w:i/>
        </w:rPr>
        <w:t xml:space="preserve">.  </w:t>
      </w:r>
    </w:p>
    <w:p w:rsidR="00991FC5" w:rsidRPr="007603B7" w:rsidRDefault="00991FC5" w:rsidP="00991FC5">
      <w:pPr>
        <w:pStyle w:val="Policy"/>
        <w:ind w:left="0"/>
        <w:rPr>
          <w:bCs w:val="0"/>
          <w:i/>
        </w:rPr>
      </w:pPr>
      <w:r w:rsidRPr="007603B7">
        <w:rPr>
          <w:b/>
          <w:i/>
        </w:rPr>
        <w:t>Policy CSF 2.8:</w:t>
      </w:r>
      <w:r w:rsidRPr="007603B7">
        <w:rPr>
          <w:bCs w:val="0"/>
          <w:i/>
        </w:rPr>
        <w:tab/>
        <w:t xml:space="preserve">Support conjunctive groundwater use, to the extent feasible, in order to increase the reliability and </w:t>
      </w:r>
      <w:r w:rsidRPr="007603B7">
        <w:rPr>
          <w:i/>
        </w:rPr>
        <w:t>flexibility</w:t>
      </w:r>
      <w:r w:rsidRPr="007603B7">
        <w:rPr>
          <w:bCs w:val="0"/>
          <w:i/>
        </w:rPr>
        <w:t xml:space="preserve"> of the City’s water supply.  </w:t>
      </w:r>
    </w:p>
    <w:p w:rsidR="00991FC5" w:rsidRPr="007603B7" w:rsidRDefault="00991FC5" w:rsidP="00991FC5">
      <w:pPr>
        <w:pStyle w:val="Policy"/>
        <w:ind w:left="0"/>
        <w:rPr>
          <w:bCs w:val="0"/>
          <w:i/>
        </w:rPr>
      </w:pPr>
      <w:r w:rsidRPr="007603B7">
        <w:rPr>
          <w:b/>
          <w:i/>
        </w:rPr>
        <w:t>Policy CSF 2.9:</w:t>
      </w:r>
      <w:r w:rsidRPr="007603B7">
        <w:rPr>
          <w:bCs w:val="0"/>
          <w:i/>
        </w:rPr>
        <w:tab/>
        <w:t xml:space="preserve">Routinely assess the City’s ability to meet demand for potable water by periodically </w:t>
      </w:r>
      <w:r w:rsidRPr="007603B7">
        <w:rPr>
          <w:i/>
        </w:rPr>
        <w:t>updating</w:t>
      </w:r>
      <w:r w:rsidRPr="007603B7">
        <w:rPr>
          <w:bCs w:val="0"/>
          <w:i/>
        </w:rPr>
        <w:t xml:space="preserve"> the Water Master Plan.  </w:t>
      </w:r>
    </w:p>
    <w:p w:rsidR="00991FC5" w:rsidRPr="007603B7" w:rsidRDefault="00991FC5" w:rsidP="00991FC5">
      <w:pPr>
        <w:pStyle w:val="Policy"/>
        <w:ind w:left="0"/>
        <w:rPr>
          <w:bCs w:val="0"/>
          <w:i/>
        </w:rPr>
      </w:pPr>
      <w:r w:rsidRPr="007603B7">
        <w:rPr>
          <w:b/>
          <w:i/>
        </w:rPr>
        <w:t>Policy CSF 2.10:</w:t>
      </w:r>
      <w:r w:rsidRPr="007603B7">
        <w:rPr>
          <w:bCs w:val="0"/>
          <w:i/>
        </w:rPr>
        <w:tab/>
        <w:t xml:space="preserve">  Continue efforts to reduce water use and increase water conservation.</w:t>
      </w:r>
    </w:p>
    <w:p w:rsidR="00991FC5" w:rsidRPr="007603B7" w:rsidRDefault="00991FC5" w:rsidP="00991FC5">
      <w:pPr>
        <w:pStyle w:val="Policy"/>
        <w:ind w:left="0"/>
        <w:rPr>
          <w:bCs w:val="0"/>
          <w:i/>
        </w:rPr>
      </w:pPr>
      <w:r w:rsidRPr="007603B7">
        <w:rPr>
          <w:b/>
          <w:i/>
        </w:rPr>
        <w:t>Policy CSF 2.11:</w:t>
      </w:r>
      <w:r w:rsidRPr="007603B7">
        <w:rPr>
          <w:bCs w:val="0"/>
          <w:i/>
        </w:rPr>
        <w:tab/>
        <w:t xml:space="preserve">Procure recycled water supplies from the Santa Rosa </w:t>
      </w:r>
      <w:proofErr w:type="spellStart"/>
      <w:r w:rsidRPr="007603B7">
        <w:rPr>
          <w:bCs w:val="0"/>
          <w:i/>
        </w:rPr>
        <w:t>Subregional</w:t>
      </w:r>
      <w:proofErr w:type="spellEnd"/>
      <w:r w:rsidRPr="007603B7">
        <w:rPr>
          <w:bCs w:val="0"/>
          <w:i/>
        </w:rPr>
        <w:t xml:space="preserve"> Wastewater Treatment and Reclamation System where economically feasible.  </w:t>
      </w:r>
    </w:p>
    <w:p w:rsidR="00991FC5" w:rsidRPr="007603B7" w:rsidRDefault="00991FC5" w:rsidP="00991FC5">
      <w:pPr>
        <w:pStyle w:val="Policy"/>
        <w:ind w:left="0"/>
        <w:rPr>
          <w:bCs w:val="0"/>
          <w:i/>
        </w:rPr>
      </w:pPr>
      <w:r w:rsidRPr="007603B7">
        <w:rPr>
          <w:b/>
          <w:i/>
        </w:rPr>
        <w:t>Policy CSF 2.12:</w:t>
      </w:r>
      <w:r w:rsidRPr="007603B7">
        <w:rPr>
          <w:bCs w:val="0"/>
          <w:i/>
        </w:rPr>
        <w:tab/>
      </w:r>
      <w:r w:rsidRPr="00B64371">
        <w:rPr>
          <w:bCs w:val="0"/>
          <w:i/>
        </w:rPr>
        <w:t>Use recycled water for landscaping irrigation at City parks and City facilities where economically feasible.</w:t>
      </w:r>
    </w:p>
    <w:p w:rsidR="00991FC5" w:rsidRPr="007603B7" w:rsidRDefault="00991FC5" w:rsidP="00991FC5">
      <w:pPr>
        <w:pStyle w:val="Policy"/>
        <w:ind w:left="0"/>
        <w:rPr>
          <w:bCs w:val="0"/>
          <w:i/>
        </w:rPr>
      </w:pPr>
      <w:r w:rsidRPr="007603B7">
        <w:rPr>
          <w:b/>
          <w:i/>
        </w:rPr>
        <w:t>Policy CSF 2.13:</w:t>
      </w:r>
      <w:r w:rsidRPr="007603B7">
        <w:rPr>
          <w:bCs w:val="0"/>
          <w:i/>
        </w:rPr>
        <w:tab/>
        <w:t xml:space="preserve">Maintain and ensure adequate emergency water supplies, including the Sonoma County Water Agency and City of Rohnert Park interties, for mutual benefit in case of emergency.  </w:t>
      </w:r>
    </w:p>
    <w:p w:rsidR="00991FC5" w:rsidRPr="007603B7" w:rsidRDefault="00991FC5" w:rsidP="00991FC5">
      <w:pPr>
        <w:pStyle w:val="Policy"/>
        <w:ind w:left="0"/>
        <w:rPr>
          <w:bCs w:val="0"/>
          <w:i/>
        </w:rPr>
      </w:pPr>
      <w:r w:rsidRPr="007603B7">
        <w:rPr>
          <w:b/>
          <w:i/>
        </w:rPr>
        <w:t>Policy CSF 2.14:</w:t>
      </w:r>
      <w:r w:rsidRPr="007603B7">
        <w:rPr>
          <w:bCs w:val="0"/>
          <w:i/>
        </w:rPr>
        <w:t xml:space="preserve"> Continue to implement the City’s water waste and water conservation requirements established under Chapter 13.30 of the Municipal Code.</w:t>
      </w:r>
    </w:p>
    <w:p w:rsidR="00991FC5" w:rsidRPr="007603B7" w:rsidRDefault="00991FC5" w:rsidP="00991FC5">
      <w:pPr>
        <w:pStyle w:val="Policy"/>
        <w:ind w:left="0"/>
        <w:rPr>
          <w:bCs w:val="0"/>
          <w:i/>
        </w:rPr>
      </w:pPr>
      <w:r w:rsidRPr="007603B7">
        <w:rPr>
          <w:b/>
          <w:i/>
        </w:rPr>
        <w:t>Policy CSF 2.15:</w:t>
      </w:r>
      <w:r w:rsidRPr="007603B7">
        <w:rPr>
          <w:bCs w:val="0"/>
          <w:i/>
        </w:rPr>
        <w:t xml:space="preserve"> Continue to implement Chapter 13.36 of the Municipal Code and to work with the Environmental Health Division of Sonoma County’s Permit and Resource Management Department to ensure that septic tanks do not contaminate the water supply in Cotati.</w:t>
      </w:r>
    </w:p>
    <w:p w:rsidR="00991FC5" w:rsidRPr="007603B7" w:rsidRDefault="00991FC5" w:rsidP="00991FC5">
      <w:pPr>
        <w:pStyle w:val="Action"/>
        <w:ind w:left="0"/>
        <w:jc w:val="both"/>
        <w:rPr>
          <w:u w:val="single"/>
        </w:rPr>
      </w:pPr>
      <w:r w:rsidRPr="007603B7">
        <w:rPr>
          <w:u w:val="single"/>
        </w:rPr>
        <w:t>Actions</w:t>
      </w:r>
    </w:p>
    <w:p w:rsidR="00991FC5" w:rsidRPr="00B901A3" w:rsidRDefault="00991FC5" w:rsidP="00991FC5">
      <w:pPr>
        <w:pStyle w:val="Action"/>
        <w:ind w:left="0"/>
        <w:rPr>
          <w:bCs w:val="0"/>
        </w:rPr>
      </w:pPr>
      <w:r w:rsidRPr="00B901A3">
        <w:rPr>
          <w:u w:val="single"/>
        </w:rPr>
        <w:t>Action CSF 1a:</w:t>
      </w:r>
      <w:r w:rsidRPr="00B901A3">
        <w:rPr>
          <w:bCs w:val="0"/>
        </w:rPr>
        <w:t xml:space="preserve"> Periodically review and update the various Master Plans for the provision and/or extension of public services.  These plans can include the Water Master Plan, the Sanitary Sewer Master Plan, and the City’s Capital Improvement Plan.  Cost estimates for improvements identified within each respective plan will be used as a basis for establishing and periodically updating development fees.  As part of the next update for each of these plans, the update shall include a more streamlined process to facilitate smaller development projects.  This process may involve an </w:t>
      </w:r>
      <w:r w:rsidRPr="00B901A3">
        <w:rPr>
          <w:bCs w:val="0"/>
        </w:rPr>
        <w:lastRenderedPageBreak/>
        <w:t>equivalent dwelling unit (EDU)-type fee and accompanying study to determine EDU allocations. (Public Works Department, Planning Department, City Engineer)</w:t>
      </w:r>
    </w:p>
    <w:p w:rsidR="00991FC5" w:rsidRDefault="00991FC5" w:rsidP="00991FC5">
      <w:pPr>
        <w:pStyle w:val="Action"/>
        <w:ind w:left="0"/>
        <w:rPr>
          <w:bCs w:val="0"/>
        </w:rPr>
      </w:pPr>
      <w:r w:rsidRPr="00B901A3">
        <w:rPr>
          <w:u w:val="single"/>
        </w:rPr>
        <w:t>Action CSF 1b:</w:t>
      </w:r>
      <w:r w:rsidRPr="00B901A3">
        <w:rPr>
          <w:bCs w:val="0"/>
        </w:rPr>
        <w:t xml:space="preserve"> As part of the development review process, evaluate the degree of impact a development will have on the City's infrastructure.  The City Council shall ensure that appropriate impact fees and assessments are levied accordingly.</w:t>
      </w:r>
    </w:p>
    <w:p w:rsidR="00991FC5" w:rsidRPr="00B901A3" w:rsidRDefault="00991FC5" w:rsidP="00991FC5">
      <w:pPr>
        <w:pStyle w:val="Action"/>
        <w:ind w:left="0"/>
        <w:rPr>
          <w:bCs w:val="0"/>
        </w:rPr>
      </w:pPr>
      <w:r w:rsidRPr="00B901A3">
        <w:rPr>
          <w:u w:val="single"/>
        </w:rPr>
        <w:t>Action CSF 2a:</w:t>
      </w:r>
      <w:r w:rsidRPr="00B901A3">
        <w:rPr>
          <w:bCs w:val="0"/>
        </w:rPr>
        <w:t xml:space="preserve">  As part of the development review process, determine the potential impacts of development and infrastructure projects on the water system and ensure that new development contributes its fair share toward necessary water infrastructure and supply.  The Planning Department and the City Engineer shall be responsible for ensuring that the assessments are made.  </w:t>
      </w:r>
    </w:p>
    <w:p w:rsidR="00991FC5" w:rsidRPr="00B901A3" w:rsidRDefault="00991FC5" w:rsidP="00991FC5">
      <w:pPr>
        <w:pStyle w:val="Action"/>
        <w:ind w:left="0"/>
        <w:rPr>
          <w:bCs w:val="0"/>
        </w:rPr>
      </w:pPr>
      <w:r w:rsidRPr="00B901A3">
        <w:rPr>
          <w:u w:val="single"/>
        </w:rPr>
        <w:t>Action CSF 2b:</w:t>
      </w:r>
      <w:r w:rsidRPr="00B901A3">
        <w:rPr>
          <w:bCs w:val="0"/>
        </w:rPr>
        <w:t xml:space="preserve"> Achieve water use reductions through implementation of the Demand Management Measures (DMM) contained in the </w:t>
      </w:r>
      <w:r>
        <w:rPr>
          <w:bCs w:val="0"/>
        </w:rPr>
        <w:t>water supply assessment</w:t>
      </w:r>
      <w:r w:rsidR="009823AE">
        <w:rPr>
          <w:bCs w:val="0"/>
        </w:rPr>
        <w:t>,</w:t>
      </w:r>
      <w:r>
        <w:rPr>
          <w:bCs w:val="0"/>
        </w:rPr>
        <w:t xml:space="preserve"> </w:t>
      </w:r>
      <w:r w:rsidRPr="00B901A3">
        <w:rPr>
          <w:bCs w:val="0"/>
        </w:rPr>
        <w:t>Urban Water Management Plan</w:t>
      </w:r>
      <w:r>
        <w:rPr>
          <w:bCs w:val="0"/>
        </w:rPr>
        <w:t xml:space="preserve">, </w:t>
      </w:r>
      <w:r w:rsidR="009823AE">
        <w:rPr>
          <w:bCs w:val="0"/>
        </w:rPr>
        <w:t>or other appropriate measures</w:t>
      </w:r>
      <w:r>
        <w:rPr>
          <w:bCs w:val="0"/>
        </w:rPr>
        <w:t xml:space="preserve"> as applicable</w:t>
      </w:r>
      <w:r w:rsidRPr="00B901A3">
        <w:rPr>
          <w:bCs w:val="0"/>
        </w:rPr>
        <w:t>.</w:t>
      </w:r>
    </w:p>
    <w:p w:rsidR="00991FC5" w:rsidRPr="00B901A3" w:rsidRDefault="00991FC5" w:rsidP="00991FC5">
      <w:pPr>
        <w:pStyle w:val="Action"/>
        <w:ind w:left="0"/>
        <w:rPr>
          <w:bCs w:val="0"/>
        </w:rPr>
      </w:pPr>
      <w:r w:rsidRPr="00B901A3">
        <w:rPr>
          <w:u w:val="single"/>
        </w:rPr>
        <w:t>Action CSF 2c:</w:t>
      </w:r>
      <w:r w:rsidRPr="00B901A3">
        <w:rPr>
          <w:bCs w:val="0"/>
        </w:rPr>
        <w:t xml:space="preserve">  Develop mechanisms and infrastructure to deliver recycled water to City water users from the Santa Rosa </w:t>
      </w:r>
      <w:proofErr w:type="spellStart"/>
      <w:r w:rsidRPr="00B901A3">
        <w:rPr>
          <w:bCs w:val="0"/>
        </w:rPr>
        <w:t>Subregional</w:t>
      </w:r>
      <w:proofErr w:type="spellEnd"/>
      <w:r w:rsidRPr="00B901A3">
        <w:rPr>
          <w:bCs w:val="0"/>
        </w:rPr>
        <w:t xml:space="preserve"> Treatment and Reclamation System.</w:t>
      </w:r>
    </w:p>
    <w:p w:rsidR="00991FC5" w:rsidRPr="00B901A3" w:rsidRDefault="00991FC5" w:rsidP="00991FC5">
      <w:pPr>
        <w:pStyle w:val="Action"/>
        <w:ind w:left="0"/>
        <w:rPr>
          <w:bCs w:val="0"/>
        </w:rPr>
      </w:pPr>
      <w:r w:rsidRPr="00B901A3">
        <w:rPr>
          <w:u w:val="single"/>
        </w:rPr>
        <w:t>Action CSF 2d:</w:t>
      </w:r>
      <w:r w:rsidRPr="00B901A3">
        <w:t xml:space="preserve">  Coordinate with the Sonoma County Water Agency, and continue to participate in planning efforts for the Santa Rosa Plain Groundwater Management </w:t>
      </w:r>
      <w:r w:rsidRPr="00B901A3">
        <w:rPr>
          <w:bCs w:val="0"/>
        </w:rPr>
        <w:t>Plan</w:t>
      </w:r>
      <w:r w:rsidRPr="00B901A3">
        <w:t xml:space="preserve"> to ensure more reliable conjunctive groundwater use.    </w:t>
      </w:r>
    </w:p>
    <w:p w:rsidR="00991FC5" w:rsidRPr="00B901A3" w:rsidRDefault="00991FC5" w:rsidP="00991FC5">
      <w:pPr>
        <w:pStyle w:val="Action"/>
        <w:ind w:left="0"/>
        <w:rPr>
          <w:bCs w:val="0"/>
        </w:rPr>
      </w:pPr>
      <w:r w:rsidRPr="00B901A3">
        <w:rPr>
          <w:u w:val="single"/>
        </w:rPr>
        <w:t>Action CSF 2e:</w:t>
      </w:r>
      <w:r w:rsidRPr="00B901A3">
        <w:rPr>
          <w:bCs w:val="0"/>
        </w:rPr>
        <w:t xml:space="preserve">  Develop a public outreach and incentive program to expand and promote the use of recycled water once delivery infrastructure becomes available (this action may be in conjunction with the Conservation Guide discussed in the Conservation Element).  </w:t>
      </w:r>
    </w:p>
    <w:p w:rsidR="00991FC5" w:rsidRPr="00B901A3" w:rsidRDefault="00991FC5" w:rsidP="00991FC5">
      <w:pPr>
        <w:pStyle w:val="Action"/>
        <w:ind w:left="0"/>
      </w:pPr>
      <w:r w:rsidRPr="00B901A3">
        <w:rPr>
          <w:u w:val="single"/>
        </w:rPr>
        <w:t xml:space="preserve">Action </w:t>
      </w:r>
      <w:r>
        <w:rPr>
          <w:u w:val="single"/>
        </w:rPr>
        <w:t xml:space="preserve">CSF </w:t>
      </w:r>
      <w:r w:rsidRPr="00B901A3">
        <w:rPr>
          <w:u w:val="single"/>
        </w:rPr>
        <w:t>2f:</w:t>
      </w:r>
      <w:r w:rsidRPr="00B901A3">
        <w:rPr>
          <w:bCs w:val="0"/>
        </w:rPr>
        <w:t xml:space="preserve"> </w:t>
      </w:r>
      <w:r w:rsidRPr="00B901A3">
        <w:t xml:space="preserve">Through the planning process and the Conservation Guide discussed in the </w:t>
      </w:r>
      <w:r w:rsidRPr="00B901A3">
        <w:rPr>
          <w:bCs w:val="0"/>
        </w:rPr>
        <w:t>Conservation</w:t>
      </w:r>
      <w:r w:rsidRPr="00B901A3">
        <w:t xml:space="preserve"> Element, the City shall implement its water waste and water conservation requirements established in Chapter 13.30 of the Municipal Code.</w:t>
      </w:r>
    </w:p>
    <w:p w:rsidR="00991FC5" w:rsidRPr="00B901A3" w:rsidRDefault="00991FC5" w:rsidP="00991FC5">
      <w:pPr>
        <w:pStyle w:val="Action"/>
        <w:ind w:left="0"/>
        <w:rPr>
          <w:u w:val="single"/>
        </w:rPr>
      </w:pPr>
      <w:r w:rsidRPr="00B901A3">
        <w:rPr>
          <w:u w:val="single"/>
        </w:rPr>
        <w:t>Action CSF 2g</w:t>
      </w:r>
      <w:r w:rsidRPr="00B901A3">
        <w:t xml:space="preserve">:  Update the City’s water waste and conservation strategy established in Chapter 13.30 of the Municipal Code to be consistent with current BMPs for water conservation, including measures identified by the Sonoma </w:t>
      </w:r>
      <w:r>
        <w:t>C</w:t>
      </w:r>
      <w:r w:rsidRPr="00B901A3">
        <w:t>ounty Water Agency, Sonoma-Marin Water Saving Partnership, and California Urban Water Conservation Council.  Ensure that the Conservation Guide (see Conservation Element) includes the mandatory and voluntary measures identified in Chapter 13.30.</w:t>
      </w:r>
    </w:p>
    <w:p w:rsidR="00991FC5" w:rsidRPr="00B901A3" w:rsidRDefault="00991FC5" w:rsidP="00991FC5">
      <w:pPr>
        <w:pStyle w:val="Action"/>
        <w:rPr>
          <w:bCs w:val="0"/>
        </w:rPr>
      </w:pPr>
    </w:p>
    <w:p w:rsidR="00991FC5" w:rsidRDefault="00BC359F" w:rsidP="00991FC5">
      <w:pPr>
        <w:pStyle w:val="Heading4"/>
      </w:pPr>
      <w:r>
        <w:br w:type="page"/>
      </w:r>
      <w:r w:rsidR="00991FC5">
        <w:lastRenderedPageBreak/>
        <w:t>Impact 3.13</w:t>
      </w:r>
      <w:r w:rsidR="00991FC5" w:rsidRPr="002A2253">
        <w:t xml:space="preserve">-2: </w:t>
      </w:r>
      <w:r w:rsidR="00991FC5">
        <w:t>Require or result in</w:t>
      </w:r>
      <w:r w:rsidR="00991FC5" w:rsidRPr="002A2253">
        <w:t xml:space="preserve"> the construction of new water treatment facilities or expansion of existing facilities, the construction of which could cause significant environmental effects (</w:t>
      </w:r>
      <w:r w:rsidR="00991FC5">
        <w:t>L</w:t>
      </w:r>
      <w:r w:rsidR="00991FC5" w:rsidRPr="002A2253">
        <w:t xml:space="preserve">ess than </w:t>
      </w:r>
      <w:r w:rsidR="00991FC5">
        <w:t>S</w:t>
      </w:r>
      <w:r w:rsidR="00991FC5" w:rsidRPr="002A2253">
        <w:t>ignificant)</w:t>
      </w:r>
    </w:p>
    <w:p w:rsidR="00991FC5" w:rsidRDefault="00991FC5" w:rsidP="00991FC5">
      <w:pPr>
        <w:rPr>
          <w:rFonts w:cs="PalatinoLinotype"/>
        </w:rPr>
      </w:pPr>
      <w:r w:rsidRPr="000150A9">
        <w:rPr>
          <w:rFonts w:cs="PalatinoLinotype"/>
        </w:rPr>
        <w:t xml:space="preserve">Development and growth in the City under the 2013 General Plan would result in increased demand for </w:t>
      </w:r>
      <w:r>
        <w:rPr>
          <w:rFonts w:cs="PalatinoLinotype"/>
        </w:rPr>
        <w:t>water supplies, including water conveyance and treatment infrastructure</w:t>
      </w:r>
      <w:r w:rsidRPr="000150A9">
        <w:rPr>
          <w:rFonts w:cs="PalatinoLinotype"/>
        </w:rPr>
        <w:t xml:space="preserve">. The 2013 General Plan includes policies and actions to ensure that </w:t>
      </w:r>
      <w:r>
        <w:rPr>
          <w:rFonts w:cs="PalatinoLinotype"/>
        </w:rPr>
        <w:t>water supplies are provided</w:t>
      </w:r>
      <w:r w:rsidRPr="000150A9">
        <w:rPr>
          <w:rFonts w:cs="PalatinoLinotype"/>
        </w:rPr>
        <w:t xml:space="preserve"> at acceptable levels and to ensure that development and growth does not outpace the provision of </w:t>
      </w:r>
      <w:r>
        <w:rPr>
          <w:rFonts w:cs="PalatinoLinotype"/>
        </w:rPr>
        <w:t xml:space="preserve">available water supplies.  </w:t>
      </w:r>
    </w:p>
    <w:p w:rsidR="00991FC5" w:rsidRPr="000150A9" w:rsidRDefault="00991FC5" w:rsidP="00991FC5">
      <w:pPr>
        <w:rPr>
          <w:rFonts w:cs="PalatinoLinotype"/>
        </w:rPr>
      </w:pPr>
      <w:r>
        <w:rPr>
          <w:rFonts w:cs="PalatinoLinotype"/>
        </w:rPr>
        <w:t xml:space="preserve">As described under Impact 3.13-1, above, the projected 2035 water supplies are adequate to meet demand that would be generated by buildout of the 2013 General Plan.  As such, implementation and buildout of the General Plan would not result in the need to construct or expand water supply and treatment facilities that have not already been described and accounted for the in the City’s relevant water master plans, which include the 2010 Urban Water Management Plan and the 2011 Water Distribution Master Plan.  </w:t>
      </w:r>
    </w:p>
    <w:p w:rsidR="00991FC5" w:rsidRPr="000150A9" w:rsidRDefault="00991FC5" w:rsidP="00991FC5">
      <w:r w:rsidRPr="000150A9">
        <w:t>As future development and infrastructure projects</w:t>
      </w:r>
      <w:r>
        <w:t xml:space="preserve"> </w:t>
      </w:r>
      <w:r w:rsidRPr="000150A9">
        <w:t xml:space="preserve">are considered by the City, each project will be evaluated for conformance with the City’s General Plan, Land Use Code, and other applicable regulations. Subsequent development and infrastructure projects would also be analyzed for potential environmental impacts, consistent with the requirements of CEQA. </w:t>
      </w:r>
    </w:p>
    <w:p w:rsidR="00991FC5" w:rsidRDefault="00991FC5" w:rsidP="00991FC5">
      <w:pPr>
        <w:rPr>
          <w:rFonts w:cs="PalatinoLinotype"/>
        </w:rPr>
      </w:pPr>
      <w:r w:rsidRPr="000150A9">
        <w:rPr>
          <w:rFonts w:cs="PalatinoLinotype"/>
        </w:rPr>
        <w:t xml:space="preserve">The 2013 General Plan includes a range of policies and actions (listed </w:t>
      </w:r>
      <w:r>
        <w:rPr>
          <w:rFonts w:cs="PalatinoLinotype"/>
        </w:rPr>
        <w:t>above</w:t>
      </w:r>
      <w:r w:rsidRPr="000150A9">
        <w:rPr>
          <w:rFonts w:cs="PalatinoLinotype"/>
        </w:rPr>
        <w:t xml:space="preserve">) to ensure that </w:t>
      </w:r>
      <w:r>
        <w:rPr>
          <w:rFonts w:cs="PalatinoLinotype"/>
        </w:rPr>
        <w:t xml:space="preserve">water supplies </w:t>
      </w:r>
      <w:r w:rsidRPr="000150A9">
        <w:rPr>
          <w:rFonts w:cs="PalatinoLinotype"/>
        </w:rPr>
        <w:t>are provided in a timely fashion, are adequately funded, that new development funds its fair share of services</w:t>
      </w:r>
      <w:r>
        <w:rPr>
          <w:rFonts w:cs="PalatinoLinotype"/>
        </w:rPr>
        <w:t>, and that the provision of water supplies to new projects does not adversely affect the supply and reliability of supplies to existing customers</w:t>
      </w:r>
      <w:r w:rsidRPr="000150A9">
        <w:rPr>
          <w:rFonts w:cs="PalatinoLinotype"/>
        </w:rPr>
        <w:t xml:space="preserve">. </w:t>
      </w:r>
    </w:p>
    <w:p w:rsidR="00991FC5" w:rsidRPr="000150A9" w:rsidRDefault="00991FC5" w:rsidP="00991FC5">
      <w:pPr>
        <w:rPr>
          <w:rFonts w:cs="PalatinoLinotype"/>
        </w:rPr>
      </w:pPr>
      <w:r>
        <w:rPr>
          <w:rFonts w:cs="TimesNewRoman"/>
        </w:rPr>
        <w:t xml:space="preserve">Future development in the Planning Area would be required to connect to existing water distribution infrastructure in the vicinity of each site, pay the applicable water system connection fees, and pay the applicable water usage rates.  Future projects may be required to implement site specific and limited offsite improvements to the water distribution system in order to connect new project sites to the City’s existing water infrastructure network. </w:t>
      </w:r>
      <w:r w:rsidRPr="000150A9">
        <w:rPr>
          <w:rFonts w:cs="PalatinoLinotype"/>
        </w:rPr>
        <w:t xml:space="preserve">The specific impacts of providing new and expanded </w:t>
      </w:r>
      <w:r>
        <w:rPr>
          <w:rFonts w:cs="PalatinoLinotype"/>
        </w:rPr>
        <w:t>waster distribution infrastructure</w:t>
      </w:r>
      <w:r w:rsidRPr="000150A9">
        <w:rPr>
          <w:rFonts w:cs="PalatinoLinotype"/>
        </w:rPr>
        <w:t xml:space="preserve"> cannot be determined at this time, as the 2013 General Plan does not propose </w:t>
      </w:r>
      <w:r>
        <w:rPr>
          <w:rFonts w:cs="PalatinoLinotype"/>
        </w:rPr>
        <w:t>any specific development projects or include details on any future development projects</w:t>
      </w:r>
      <w:r w:rsidRPr="000150A9">
        <w:rPr>
          <w:rFonts w:cs="PalatinoLinotype"/>
        </w:rPr>
        <w:t xml:space="preserve">. However, </w:t>
      </w:r>
      <w:r>
        <w:rPr>
          <w:rFonts w:cs="PalatinoLinotype"/>
        </w:rPr>
        <w:t>any future improvements to the existing water distribution infrastructure</w:t>
      </w:r>
      <w:r w:rsidRPr="000150A9">
        <w:rPr>
          <w:rFonts w:cs="PalatinoLinotype"/>
        </w:rPr>
        <w:t xml:space="preserve"> would be primarily provided on sites with land use designations that allow </w:t>
      </w:r>
      <w:r>
        <w:rPr>
          <w:rFonts w:cs="PalatinoLinotype"/>
        </w:rPr>
        <w:t>for urbanized land uses,</w:t>
      </w:r>
      <w:r w:rsidRPr="000150A9">
        <w:rPr>
          <w:rFonts w:cs="PalatinoLinotype"/>
        </w:rPr>
        <w:t xml:space="preserve"> and the environmental impacts of constructing and operating the </w:t>
      </w:r>
      <w:r>
        <w:rPr>
          <w:rFonts w:cs="PalatinoLinotype"/>
        </w:rPr>
        <w:t>new water distribution infrastructure</w:t>
      </w:r>
      <w:r w:rsidRPr="000150A9">
        <w:rPr>
          <w:rFonts w:cs="PalatinoLinotype"/>
        </w:rPr>
        <w:t xml:space="preserve"> would likely be similar to those associated with new development, redevelopment, and infrastructure projects under the 2013 General Plan. These impacts are described in the relevant chapters (Chapters 3.1 through 3.13, and 4.0) of this Draft EIR. </w:t>
      </w:r>
    </w:p>
    <w:p w:rsidR="00991FC5" w:rsidRPr="00C67851" w:rsidRDefault="00991FC5" w:rsidP="00991FC5">
      <w:pPr>
        <w:rPr>
          <w:rFonts w:cs="PalatinoLinotype"/>
        </w:rPr>
      </w:pPr>
      <w:r w:rsidRPr="000150A9">
        <w:rPr>
          <w:rFonts w:cs="PalatinoLinotype"/>
        </w:rPr>
        <w:t xml:space="preserve">This Draft EIR addresses the potential impacts of development that may occur under the 2013 General Plan, including residential, commercial, office, industrial, public facilities, and a range of other uses that are accommodated by the project. Where potentially significant or significant </w:t>
      </w:r>
      <w:r w:rsidRPr="000150A9">
        <w:rPr>
          <w:rFonts w:cs="PalatinoLinotype"/>
        </w:rPr>
        <w:lastRenderedPageBreak/>
        <w:t xml:space="preserve">impacts are identified, this EIR identifies mitigation measures to reduce the impact and discloses which impacts cannot be reduced to a less than significant impact. There are no additional environmental impacts, apart from those disclosed in the relevant chapters of this EIR that are </w:t>
      </w:r>
      <w:r w:rsidRPr="009C1DA7">
        <w:rPr>
          <w:rFonts w:cs="PalatinoLinotype"/>
        </w:rPr>
        <w:t xml:space="preserve">anticipated to occur. Therefore, this impact is considered </w:t>
      </w:r>
      <w:r w:rsidRPr="009C1DA7">
        <w:rPr>
          <w:rFonts w:cs="PalatinoLinotype"/>
          <w:b/>
        </w:rPr>
        <w:t xml:space="preserve">less than significant </w:t>
      </w:r>
      <w:r w:rsidRPr="009C1DA7">
        <w:rPr>
          <w:rFonts w:cs="PalatinoLinotype"/>
        </w:rPr>
        <w:t xml:space="preserve">and no additional mitigation </w:t>
      </w:r>
      <w:r w:rsidRPr="00C67851">
        <w:rPr>
          <w:rFonts w:cs="PalatinoLinotype"/>
        </w:rPr>
        <w:t xml:space="preserve">is necessary. </w:t>
      </w:r>
    </w:p>
    <w:p w:rsidR="00991FC5" w:rsidRPr="00C67851" w:rsidRDefault="00991FC5" w:rsidP="00991FC5">
      <w:pPr>
        <w:pStyle w:val="Heading2"/>
        <w:keepNext/>
      </w:pPr>
      <w:r w:rsidRPr="00C67851">
        <w:t xml:space="preserve">3.13.2 Wastewater </w:t>
      </w:r>
    </w:p>
    <w:p w:rsidR="00991FC5" w:rsidRPr="00FF7796" w:rsidRDefault="00991FC5" w:rsidP="00991FC5">
      <w:r w:rsidRPr="00C67851">
        <w:t xml:space="preserve">The City of </w:t>
      </w:r>
      <w:r w:rsidRPr="00C67851">
        <w:rPr>
          <w:rFonts w:eastAsia="Calibri"/>
        </w:rPr>
        <w:t>Cotati owns and operates a wastewater (sewer) collection and transmission system.  Sewage is conveyed</w:t>
      </w:r>
      <w:r w:rsidRPr="00FF7796">
        <w:rPr>
          <w:rFonts w:eastAsia="Calibri"/>
        </w:rPr>
        <w:t xml:space="preserve"> to the Santa Rosa </w:t>
      </w:r>
      <w:proofErr w:type="spellStart"/>
      <w:r w:rsidRPr="00FF7796">
        <w:rPr>
          <w:rFonts w:eastAsia="Calibri"/>
        </w:rPr>
        <w:t>Subregional</w:t>
      </w:r>
      <w:proofErr w:type="spellEnd"/>
      <w:r w:rsidRPr="00FF7796">
        <w:rPr>
          <w:rFonts w:eastAsia="Calibri"/>
        </w:rPr>
        <w:t xml:space="preserve"> Wastewater Reclamation System for treatment at the Laguna Treatment Plant.  </w:t>
      </w:r>
    </w:p>
    <w:p w:rsidR="00991FC5" w:rsidRPr="00FF7796" w:rsidRDefault="00991FC5" w:rsidP="00991FC5">
      <w:pPr>
        <w:pStyle w:val="Heading3"/>
      </w:pPr>
      <w:r w:rsidRPr="00FF7796">
        <w:t>Key Terms</w:t>
      </w:r>
    </w:p>
    <w:p w:rsidR="00991FC5" w:rsidRPr="00FF7796" w:rsidRDefault="00991FC5" w:rsidP="00991FC5">
      <w:r w:rsidRPr="00FF7796">
        <w:rPr>
          <w:b/>
        </w:rPr>
        <w:t>Effluent:</w:t>
      </w:r>
      <w:r w:rsidRPr="00FF7796">
        <w:t xml:space="preserve"> Effluent is an outflowing of water from a natural body of water, or from a man-made structure. Effluent in the man-made sense is generally considered to be water pollution, such as the outflow from a sewage treatment facility or the wastewater discharge from industrial facilities. In the context of waste water treatment plants, effluent that has been treated is sometimes called secondary effluent, or treated effluent.</w:t>
      </w:r>
    </w:p>
    <w:p w:rsidR="00991FC5" w:rsidRPr="00FF7796" w:rsidRDefault="00991FC5" w:rsidP="00991FC5">
      <w:r w:rsidRPr="00FF7796">
        <w:rPr>
          <w:b/>
        </w:rPr>
        <w:t>NPDES:</w:t>
      </w:r>
      <w:r w:rsidRPr="00FF7796">
        <w:t xml:space="preserve"> Water pollution degrades surface waters making them unsafe for drinking, fishing, swimming, and other activities. As authorized by the Clean Water Act, the National Pollutant Discharge Elimination System (NPDES) permit program controls water pollution by regulating point sources that discharge pollutants into waters of the United States. Point sources are discrete conveyances such as pipes or man-made ditches. Individual homes that are connected to a municipal system, use a septic system, or do not have a surface discharge do not need an NPDES permit; however, industrial, municipal, and other facilities must obtain permits if their discharges go directly to surface waters.</w:t>
      </w:r>
    </w:p>
    <w:p w:rsidR="00991FC5" w:rsidRPr="00FF7796" w:rsidRDefault="00991FC5" w:rsidP="00991FC5">
      <w:r w:rsidRPr="00FF7796">
        <w:rPr>
          <w:b/>
        </w:rPr>
        <w:t>WWTP:</w:t>
      </w:r>
      <w:r w:rsidRPr="00FF7796">
        <w:t xml:space="preserve"> Wastewater treatment plant. Treatment of wastewater may include the following processes: screening to remove large waste items; grit removal to allow sand, gravel, and sediment to settle out; primary sedimentation where sludge can settle out of the wastewater; secondary treatment to substantially degrade the biological content of the sewage; tertiary treatment to raise the quality of the effluent before it is discharged; and, discharge. </w:t>
      </w:r>
    </w:p>
    <w:p w:rsidR="00991FC5" w:rsidRPr="003B3E13" w:rsidRDefault="00991FC5" w:rsidP="00991FC5">
      <w:pPr>
        <w:pStyle w:val="Heading3"/>
      </w:pPr>
      <w:r w:rsidRPr="003B3E13">
        <w:t>Cotati Wastewater Collection System</w:t>
      </w:r>
    </w:p>
    <w:p w:rsidR="00991FC5" w:rsidRPr="003B3E13" w:rsidRDefault="00991FC5" w:rsidP="00991FC5">
      <w:r w:rsidRPr="003B3E13">
        <w:t xml:space="preserve">The following discussion of the City’s wastewater system is derived primarily from the </w:t>
      </w:r>
      <w:r>
        <w:t>Cotati Sewer Collection System Master Plan (</w:t>
      </w:r>
      <w:proofErr w:type="spellStart"/>
      <w:r>
        <w:t>Carollo</w:t>
      </w:r>
      <w:proofErr w:type="spellEnd"/>
      <w:r>
        <w:t>, 2011)</w:t>
      </w:r>
      <w:r w:rsidRPr="003B3E13">
        <w:t xml:space="preserve">.  </w:t>
      </w:r>
    </w:p>
    <w:p w:rsidR="00991FC5" w:rsidRDefault="00991FC5" w:rsidP="00991FC5">
      <w:r w:rsidRPr="003B3E13">
        <w:t xml:space="preserve">The City owns and operates a sanitary sewer collection system that provides sanitary sewer, or wastewater, service to approximately 1,200 acres in and around the City’s limits.  The sanitary sewer system is comprised of four lift stations, approximately 140,300 lineal feet of collection piping ranging in size from six inches to 24 inches, approximately 484 manholes, approximately 150 cleanouts, and a 24-inch transfer interceptor which carries wastewater to the Santa Rosa </w:t>
      </w:r>
      <w:proofErr w:type="spellStart"/>
      <w:r w:rsidRPr="003B3E13">
        <w:t>Subregional</w:t>
      </w:r>
      <w:proofErr w:type="spellEnd"/>
      <w:r w:rsidRPr="003B3E13">
        <w:t xml:space="preserve"> Treatment Plan</w:t>
      </w:r>
      <w:r>
        <w:t>t</w:t>
      </w:r>
      <w:r w:rsidRPr="003B3E13">
        <w:t xml:space="preserve"> (also referred to as the Laguna Wastewater Treatment Plan</w:t>
      </w:r>
      <w:r>
        <w:t>t</w:t>
      </w:r>
      <w:r w:rsidRPr="003B3E13">
        <w:t xml:space="preserve"> LWWTP) </w:t>
      </w:r>
      <w:r w:rsidRPr="003B3E13">
        <w:lastRenderedPageBreak/>
        <w:t xml:space="preserve">for treatment.  The locations of the City’s wastewater system’s key facilities are shown on Figure </w:t>
      </w:r>
      <w:r>
        <w:t>3.13-2</w:t>
      </w:r>
      <w:r w:rsidRPr="003B3E13">
        <w:t xml:space="preserve">.  </w:t>
      </w:r>
    </w:p>
    <w:p w:rsidR="00991FC5" w:rsidRDefault="00991FC5" w:rsidP="00991FC5">
      <w:pPr>
        <w:pStyle w:val="Heading4"/>
      </w:pPr>
      <w:r>
        <w:t>Sanitary Sewer Collection Zones</w:t>
      </w:r>
    </w:p>
    <w:p w:rsidR="00991FC5" w:rsidRDefault="00991FC5" w:rsidP="00991FC5">
      <w:r>
        <w:t>The City’s sewer collection system can be categorized into nine separate collection zones, which are summarized below.</w:t>
      </w:r>
    </w:p>
    <w:p w:rsidR="00991FC5" w:rsidRDefault="00991FC5" w:rsidP="00991FC5">
      <w:r w:rsidRPr="00390E3B">
        <w:rPr>
          <w:u w:val="single"/>
        </w:rPr>
        <w:t>North Central Cotati Zone:</w:t>
      </w:r>
      <w:r>
        <w:t xml:space="preserve">  The North Central Cotati Zone is comprised of the collection network located in the development area north and northwest of the Hub, and east of Highway 101.  In addition to flows originating within this zone, the zone receives flow directly from the West Hub Zone, the East Hub Zone, and the East Cotati Avenue Zone via an interceptor connection.  This zone discharges directly into the </w:t>
      </w:r>
      <w:proofErr w:type="spellStart"/>
      <w:r>
        <w:t>Helman</w:t>
      </w:r>
      <w:proofErr w:type="spellEnd"/>
      <w:r>
        <w:t xml:space="preserve"> Lane Sanitary Sewer Interceptor.  </w:t>
      </w:r>
    </w:p>
    <w:p w:rsidR="00991FC5" w:rsidRDefault="00991FC5" w:rsidP="00991FC5">
      <w:r w:rsidRPr="00390E3B">
        <w:rPr>
          <w:u w:val="single"/>
        </w:rPr>
        <w:t>West Hub Zone:</w:t>
      </w:r>
      <w:r>
        <w:t xml:space="preserve"> The West Hub Zone is comprised of the western portion of the City Hub and all </w:t>
      </w:r>
      <w:proofErr w:type="spellStart"/>
      <w:r>
        <w:t>sewered</w:t>
      </w:r>
      <w:proofErr w:type="spellEnd"/>
      <w:r>
        <w:t xml:space="preserve"> area west of Old Redwood Highway with the exception of those included in the Gravenstein Highway Zone.  In addition to flows originating within the zone, this zone also receives flow directly from the Quail Hollow Zone via the Quail Hollow Lift Station.  The West Hub Zone discharges directly into the North Central Cotati Zone.  </w:t>
      </w:r>
    </w:p>
    <w:p w:rsidR="00991FC5" w:rsidRDefault="00991FC5" w:rsidP="00991FC5">
      <w:r w:rsidRPr="00D57E00">
        <w:rPr>
          <w:u w:val="single"/>
        </w:rPr>
        <w:t>East Hub Zone:</w:t>
      </w:r>
      <w:r>
        <w:t xml:space="preserve">  The East Hub Zone is comprised of the eastern portion of the City Hub, </w:t>
      </w:r>
      <w:proofErr w:type="spellStart"/>
      <w:r>
        <w:t>sewered</w:t>
      </w:r>
      <w:proofErr w:type="spellEnd"/>
      <w:r>
        <w:t xml:space="preserve"> areas east of Old Redwood Highway from Myrtle Avenue to St. Josephs Way and the area along East Cotati Avenue from the Hub to LaSalle Avenue.  In addition to flows originating within this zone, the zone also receives flow directly from the Benson Lane Zone via the Benson Lane Lift Station.  The East Hub Zone discharges directly into the North Central Cotati Zone.  </w:t>
      </w:r>
    </w:p>
    <w:p w:rsidR="00991FC5" w:rsidRDefault="00991FC5" w:rsidP="00991FC5">
      <w:r w:rsidRPr="003247A6">
        <w:rPr>
          <w:u w:val="single"/>
        </w:rPr>
        <w:t>East Cotati Avenue Zone:</w:t>
      </w:r>
      <w:r>
        <w:t xml:space="preserve">  The East Cotati Avenue Zone is comprised of </w:t>
      </w:r>
      <w:proofErr w:type="spellStart"/>
      <w:r>
        <w:t>sewered</w:t>
      </w:r>
      <w:proofErr w:type="spellEnd"/>
      <w:r>
        <w:t xml:space="preserve"> areas along East Cotati Avenue east of LaSalle Avenue, the area bounded by Lincoln Avenue, </w:t>
      </w:r>
      <w:proofErr w:type="spellStart"/>
      <w:r>
        <w:t>Loretto</w:t>
      </w:r>
      <w:proofErr w:type="spellEnd"/>
      <w:r>
        <w:t xml:space="preserve"> Avenue, and Lakewood Avenue, and all areas within the City’s limits which straddle the Northwestern Railroad tracks.  In addition to flows originating within this zone, the zone also receives flow directly from the New Century Park Zone via the New Century Park Lift Station.  The East Cotati Avenue Zone discharges directly into the North Central Cotati Zone via the East Cotati Avenue Sanitary Sewer Interceptor.  </w:t>
      </w:r>
    </w:p>
    <w:p w:rsidR="00991FC5" w:rsidRDefault="00991FC5" w:rsidP="00991FC5">
      <w:r w:rsidRPr="00392D08">
        <w:rPr>
          <w:u w:val="single"/>
        </w:rPr>
        <w:t>New Century Park Zone:</w:t>
      </w:r>
      <w:r>
        <w:t xml:space="preserve">  The New Century Park Zone is comprised of the New Century Park Subdivision.  This zone receives no upstream zone flow.  The New Century Park Subdivision discharges directly into the East Cotati Avenue Zone via the New Century Park Lift Station.</w:t>
      </w:r>
    </w:p>
    <w:p w:rsidR="00991FC5" w:rsidRDefault="00991FC5" w:rsidP="00991FC5">
      <w:r w:rsidRPr="00392D08">
        <w:rPr>
          <w:u w:val="single"/>
        </w:rPr>
        <w:t>Quail Hollow Zone:</w:t>
      </w:r>
      <w:r>
        <w:t xml:space="preserve">  The Quail Hollow Zone is comprised of the Quail Hollow Subdivision and the southeast portions of the Macklin Subdivision.  This zone receives no upstream zone flow.  The Quail Hollow Zone discharges directly into the West Hub Zone via the Quail Hollow Lift Station.</w:t>
      </w:r>
    </w:p>
    <w:p w:rsidR="00991FC5" w:rsidRDefault="00991FC5" w:rsidP="00991FC5">
      <w:r w:rsidRPr="00392D08">
        <w:rPr>
          <w:u w:val="single"/>
        </w:rPr>
        <w:t>Benson Lane Zone:</w:t>
      </w:r>
      <w:r>
        <w:t xml:space="preserve">  The Benson Lane Zone is comprised of approximately twelve sewer connections along Benson Lane.  This zone receives no upstream zone flow.  The Benson Lane Zone discharges directly into the East Hub Zone via the Benson Lift Station.</w:t>
      </w:r>
    </w:p>
    <w:p w:rsidR="00991FC5" w:rsidRDefault="00991FC5" w:rsidP="00991FC5">
      <w:r w:rsidRPr="00392D08">
        <w:rPr>
          <w:u w:val="single"/>
        </w:rPr>
        <w:lastRenderedPageBreak/>
        <w:t>Northwest Cotati Zone:</w:t>
      </w:r>
      <w:r>
        <w:t xml:space="preserve">  The Northwest Cotati Zone is comprised of the development area bounded by Copeland Creek, Laguna de Santa Rosa Creek and Highway 101.  This zone receives no upstream zone flow.  The Northwest Cotati Zone discharges directly into the </w:t>
      </w:r>
      <w:proofErr w:type="spellStart"/>
      <w:r>
        <w:t>Helman</w:t>
      </w:r>
      <w:proofErr w:type="spellEnd"/>
      <w:r>
        <w:t xml:space="preserve"> Lane Sanitary Sewer Interceptor via the Redwood Drive Lift Station.</w:t>
      </w:r>
    </w:p>
    <w:p w:rsidR="00991FC5" w:rsidRDefault="00991FC5" w:rsidP="00991FC5">
      <w:r w:rsidRPr="00392D08">
        <w:rPr>
          <w:u w:val="single"/>
        </w:rPr>
        <w:t>Gravenstein Highway Zone:</w:t>
      </w:r>
      <w:r>
        <w:t xml:space="preserve">  The Gravenstein Highway Zone is comprised of the </w:t>
      </w:r>
      <w:proofErr w:type="spellStart"/>
      <w:r>
        <w:t>sewered</w:t>
      </w:r>
      <w:proofErr w:type="spellEnd"/>
      <w:r>
        <w:t xml:space="preserve"> areas along Madrone Avenue, Gravenstein Highway and Redwood Drive (south of </w:t>
      </w:r>
      <w:proofErr w:type="spellStart"/>
      <w:r>
        <w:t>Helman</w:t>
      </w:r>
      <w:proofErr w:type="spellEnd"/>
      <w:r>
        <w:t xml:space="preserve"> Lane).  This zone receives no upstream zone flow.  The Gravenstein Highway Zone discharges directly into the </w:t>
      </w:r>
      <w:proofErr w:type="spellStart"/>
      <w:r>
        <w:t>Helman</w:t>
      </w:r>
      <w:proofErr w:type="spellEnd"/>
      <w:r>
        <w:t xml:space="preserve"> Lane Sanitary Sewer Interceptor.  </w:t>
      </w:r>
    </w:p>
    <w:p w:rsidR="00991FC5" w:rsidRDefault="00991FC5" w:rsidP="00991FC5">
      <w:pPr>
        <w:pStyle w:val="Heading4"/>
      </w:pPr>
      <w:r>
        <w:t>Sanitary Sewer Lift Stations</w:t>
      </w:r>
    </w:p>
    <w:p w:rsidR="00991FC5" w:rsidRDefault="00991FC5" w:rsidP="00991FC5">
      <w:r>
        <w:t>The City’s sewer collection system contains four lift stations, which are described below.</w:t>
      </w:r>
    </w:p>
    <w:p w:rsidR="00991FC5" w:rsidRDefault="00991FC5" w:rsidP="00991FC5">
      <w:r w:rsidRPr="00532DCD">
        <w:rPr>
          <w:u w:val="single"/>
        </w:rPr>
        <w:t>Redwood Drive Lift Station:</w:t>
      </w:r>
      <w:r>
        <w:t xml:space="preserve">  The Redwood Drive Lift Station, located at 6817 Redwood Drive, was constructed in 2000 and began pumping operations in May 2001.  The lift station is equipped with two 5 hp submersible sewage pumps, each capable of pumping 250 </w:t>
      </w:r>
      <w:proofErr w:type="spellStart"/>
      <w:r>
        <w:t>gpm</w:t>
      </w:r>
      <w:proofErr w:type="spellEnd"/>
      <w:r>
        <w:t xml:space="preserve"> at 34 feet total dynamic head (TDH).  The lift station has an associated 2,500 lineal feet of 6-inch force main that discharges to a manhole located along Redwood Drive just south of Copeland Creek.  </w:t>
      </w:r>
    </w:p>
    <w:p w:rsidR="00991FC5" w:rsidRDefault="00991FC5" w:rsidP="00991FC5">
      <w:r w:rsidRPr="00532DCD">
        <w:rPr>
          <w:u w:val="single"/>
        </w:rPr>
        <w:t>Benson Lane Lift Station:</w:t>
      </w:r>
      <w:r>
        <w:t xml:space="preserve">  The Benson Lane Lift Station, located at 54 Benson Lane, was constructed and began pumping operations in 1974.  The lift station is equipped with two 3.2 hp submersible sewage pumps, each capable of pumping approximately 130 </w:t>
      </w:r>
      <w:proofErr w:type="spellStart"/>
      <w:r>
        <w:t>gpm</w:t>
      </w:r>
      <w:proofErr w:type="spellEnd"/>
      <w:r>
        <w:t xml:space="preserve"> at 21 feet of TDH.  The lift station has an associated 200 lineal feet of 4-inch force main which discharges to a manhole at the intersection of Benson Lane and Park Avenue.</w:t>
      </w:r>
    </w:p>
    <w:p w:rsidR="00991FC5" w:rsidRDefault="00991FC5" w:rsidP="00991FC5">
      <w:r w:rsidRPr="00532DCD">
        <w:rPr>
          <w:u w:val="single"/>
        </w:rPr>
        <w:t>Quail Hollow Lift Station:</w:t>
      </w:r>
      <w:r>
        <w:t xml:space="preserve">  The Quail Hollow Lift Station, located at 230 Myrtle Avenue, was constructed and began pumping operations in 1988.  The lift station is equipped with two 3.2 hp submersible pumps capable of pumping approximately 120 </w:t>
      </w:r>
      <w:proofErr w:type="spellStart"/>
      <w:r>
        <w:t>gpm</w:t>
      </w:r>
      <w:proofErr w:type="spellEnd"/>
      <w:r>
        <w:t xml:space="preserve"> at 27 feet of TDH.  The lift station has an associated 2,400 lineal feet of 6-inch force main which discharges to a manhole at the intersection of Myrtle Avenue and Old Redwood Highway.  </w:t>
      </w:r>
    </w:p>
    <w:p w:rsidR="00991FC5" w:rsidRDefault="00991FC5" w:rsidP="00991FC5">
      <w:r w:rsidRPr="00532DCD">
        <w:rPr>
          <w:u w:val="single"/>
        </w:rPr>
        <w:t>New Century Park Lift Station:</w:t>
      </w:r>
      <w:r>
        <w:t xml:space="preserve">  The New Century Park Lift Station, located at 287 Eagle Drive, was constructed and began pumping operations in 1986.  The lift station is equipped with two 3.2 hp submersible sewage pumps capable of pumping approximately 280 </w:t>
      </w:r>
      <w:proofErr w:type="spellStart"/>
      <w:r>
        <w:t>gpm</w:t>
      </w:r>
      <w:proofErr w:type="spellEnd"/>
      <w:r>
        <w:t xml:space="preserve"> at 24 feet of TDH.  The lift station has an associated 350 lineal feet of 6-inch force main which discharges to a manhole at the intersection of </w:t>
      </w:r>
      <w:proofErr w:type="spellStart"/>
      <w:r>
        <w:t>Loretto</w:t>
      </w:r>
      <w:proofErr w:type="spellEnd"/>
      <w:r>
        <w:t xml:space="preserve"> Avenue and LaSalle Avenue.  </w:t>
      </w:r>
    </w:p>
    <w:p w:rsidR="00991FC5" w:rsidRDefault="00991FC5" w:rsidP="00991FC5">
      <w:pPr>
        <w:pStyle w:val="Heading4"/>
      </w:pPr>
      <w:r>
        <w:t>Sanitary Sewer Interceptors</w:t>
      </w:r>
    </w:p>
    <w:p w:rsidR="00991FC5" w:rsidRDefault="00991FC5" w:rsidP="00991FC5">
      <w:r>
        <w:t>The City’s sanitary sewer system has two major gravity interceptors, which are described below.</w:t>
      </w:r>
    </w:p>
    <w:p w:rsidR="00991FC5" w:rsidRDefault="00991FC5" w:rsidP="00991FC5">
      <w:r w:rsidRPr="00625D19">
        <w:rPr>
          <w:u w:val="single"/>
        </w:rPr>
        <w:t>East Cotati Avenue Sanitary Sewer Interceptor (ECASSI):</w:t>
      </w:r>
      <w:r>
        <w:t xml:space="preserve">  Prior to 1998, wastewater flows from the New Century Park and East Cotati Avenue Zones were discharged into the City of Rohnert Park’s sewer system via two outlet connections at the intersections of East Cotati Avenue and Adrian Drive; and East Cotati Avenue and Lancaster Drive.  In 1998, the City constructed the ECASSI to divert the flows from the Rohnert Park system and redirect them to the North Central Cotati Zone.  </w:t>
      </w:r>
      <w:r>
        <w:lastRenderedPageBreak/>
        <w:t>This 12-inch interceptor originates from a manhole at the intersection of East Cotati Avenue and Adrian Street and runs west along East Cotati Avenue to the Laguna de Santa Rosa Creek.  The interceptor then turns northwest, running along the creek to a manhole at the east end of Gravenstein Lane where it discharges to the North Central Cotati Zone.  The interceptor has a total length of approximately 4,260 lineal feet.</w:t>
      </w:r>
    </w:p>
    <w:p w:rsidR="00991FC5" w:rsidRDefault="00991FC5" w:rsidP="00991FC5">
      <w:proofErr w:type="spellStart"/>
      <w:r w:rsidRPr="00833799">
        <w:rPr>
          <w:u w:val="single"/>
        </w:rPr>
        <w:t>Helman</w:t>
      </w:r>
      <w:proofErr w:type="spellEnd"/>
      <w:r w:rsidRPr="00833799">
        <w:rPr>
          <w:u w:val="single"/>
        </w:rPr>
        <w:t xml:space="preserve"> Lane Sanitary Sewer Interceptor (HLSSI):</w:t>
      </w:r>
      <w:r>
        <w:t xml:space="preserve">  Constructed in 1996, the HLSSI serves as the City’s sole main transfer interceptor, carrying 100% of the City’s wastewater to the LWWTP for treatment.  The 24-inch interceptor originates from a manhole at the intersection of Redwood Drive and </w:t>
      </w:r>
      <w:proofErr w:type="spellStart"/>
      <w:r>
        <w:t>Helman</w:t>
      </w:r>
      <w:proofErr w:type="spellEnd"/>
      <w:r>
        <w:t xml:space="preserve"> Lane.  The HLSSI runs northwest along </w:t>
      </w:r>
      <w:proofErr w:type="spellStart"/>
      <w:r>
        <w:t>Helman</w:t>
      </w:r>
      <w:proofErr w:type="spellEnd"/>
      <w:r>
        <w:t xml:space="preserve"> Lane and continues beyond the City limits to the LWWTP.  The interceptor has a total length of approximately 21,300 lineal feet.  </w:t>
      </w:r>
    </w:p>
    <w:p w:rsidR="00991FC5" w:rsidRDefault="00991FC5" w:rsidP="00991FC5">
      <w:pPr>
        <w:pStyle w:val="Heading3"/>
      </w:pPr>
      <w:r>
        <w:t>Wastewater Flows</w:t>
      </w:r>
    </w:p>
    <w:p w:rsidR="00991FC5" w:rsidRDefault="00991FC5" w:rsidP="00991FC5">
      <w:pPr>
        <w:rPr>
          <w:rFonts w:eastAsia="Calibri"/>
        </w:rPr>
      </w:pPr>
      <w:r>
        <w:rPr>
          <w:rFonts w:eastAsia="Calibri"/>
        </w:rPr>
        <w:t>Wastewater consists of dry weather flow (DWF) and wet weather flow (WWF). DWF (or base flow) is flow generated by routine water usage in the residential, commercial, business and industrial sectors of the sewer system. The other component of DWF is the contribution of dry weather groundwater infiltration (GWI) into the sewer system. Dry weather GWI will enter the sewer system when the relative depth of the groundwater table is higher than the depth of the pipeline and when the susceptibility of the sanitary sewer pipe allows infiltration through defects such as cracks, misaligned joints and broken pipelines.</w:t>
      </w:r>
    </w:p>
    <w:p w:rsidR="00991FC5" w:rsidRDefault="00991FC5" w:rsidP="00991FC5">
      <w:pPr>
        <w:rPr>
          <w:rFonts w:eastAsia="Calibri"/>
        </w:rPr>
      </w:pPr>
      <w:r>
        <w:rPr>
          <w:rFonts w:eastAsia="Calibri"/>
        </w:rPr>
        <w:t>WWF includes storm water inflow, trench infiltration, and GWI. The storm water inflow and trench infiltration comprise the WWF component termed I/I. The response in the sewer system to rainfall is seen immediately (as with inflow) or within hours after the storm (as with infiltration), especially near creeks or other water bodies.</w:t>
      </w:r>
    </w:p>
    <w:p w:rsidR="00991FC5" w:rsidRDefault="00991FC5" w:rsidP="00991FC5">
      <w:pPr>
        <w:rPr>
          <w:rFonts w:eastAsia="Calibri"/>
        </w:rPr>
      </w:pPr>
      <w:proofErr w:type="gramStart"/>
      <w:r>
        <w:rPr>
          <w:rFonts w:eastAsia="Calibri"/>
        </w:rPr>
        <w:t>GWI, which is not specific to a single rainfall event, but rather to the effects on the sewer system over the entire wet weather season.</w:t>
      </w:r>
      <w:proofErr w:type="gramEnd"/>
      <w:r>
        <w:rPr>
          <w:rFonts w:eastAsia="Calibri"/>
        </w:rPr>
        <w:t xml:space="preserve"> The depth of the groundwater table rising above the pipe invert elevation causes GWI.  Sewer pipes within close proximity to a body of water can be greatly influenced by groundwater effects. As the groundwater table fluctuates over the wet weather season, this fluctuation is seen as a mounding effect in flow monitoring data. This may be considerable in the City’s service area, particularly in sewers located near the Laguna de Santa Rosa Creek.  </w:t>
      </w:r>
    </w:p>
    <w:p w:rsidR="00991FC5" w:rsidRPr="00805B7B" w:rsidRDefault="00991FC5" w:rsidP="00991FC5">
      <w:pPr>
        <w:pStyle w:val="Heading5"/>
        <w:rPr>
          <w:rFonts w:eastAsia="Calibri"/>
        </w:rPr>
      </w:pPr>
      <w:r>
        <w:rPr>
          <w:rFonts w:eastAsia="Calibri"/>
        </w:rPr>
        <w:t>Base Wastewater Flow</w:t>
      </w:r>
    </w:p>
    <w:p w:rsidR="00991FC5" w:rsidRDefault="00991FC5" w:rsidP="00991FC5">
      <w:pPr>
        <w:rPr>
          <w:rFonts w:eastAsia="Calibri"/>
        </w:rPr>
      </w:pPr>
      <w:r>
        <w:rPr>
          <w:rFonts w:eastAsia="Calibri"/>
        </w:rPr>
        <w:t>The base wastewater flow (BWF) is the flow generated by the City’s customers. The flow has a diurnal pattern that varies depending on the type of use. Commercial and industrial patterns, though they vary depending on the type of use, typically have more consistent higher flows during business hours, and lower flows at night. Furthermore, the diurnal flow pattern experienced during a weekend may vary from the diurnal flow experienced during a weekday.</w:t>
      </w:r>
    </w:p>
    <w:p w:rsidR="00991FC5" w:rsidRPr="00E27F0D" w:rsidRDefault="00991FC5" w:rsidP="00991FC5">
      <w:pPr>
        <w:pStyle w:val="Heading5"/>
        <w:rPr>
          <w:rFonts w:eastAsia="Calibri"/>
        </w:rPr>
      </w:pPr>
      <w:r>
        <w:rPr>
          <w:rFonts w:eastAsia="Calibri"/>
        </w:rPr>
        <w:lastRenderedPageBreak/>
        <w:t>Average Dry Weather Flow</w:t>
      </w:r>
    </w:p>
    <w:p w:rsidR="00991FC5" w:rsidRDefault="00991FC5" w:rsidP="00991FC5">
      <w:r w:rsidRPr="00E27F0D">
        <w:t>The average dry weather flow (ADWF) is the average flow that occurs on a daily basis during the dry weather season. The ADWF includes the BWF generated by the City’s residential, commercial, and industrial users, plus the dry weather GWI component.</w:t>
      </w:r>
    </w:p>
    <w:p w:rsidR="00991FC5" w:rsidRDefault="00991FC5" w:rsidP="00991FC5">
      <w:pPr>
        <w:pStyle w:val="Heading5"/>
      </w:pPr>
      <w:r>
        <w:t>Peak Wet Weather Flow (Design Flow)</w:t>
      </w:r>
    </w:p>
    <w:p w:rsidR="00991FC5" w:rsidRPr="00204F63" w:rsidRDefault="00991FC5" w:rsidP="00991FC5">
      <w:r>
        <w:t>Peak wet weather flow (</w:t>
      </w:r>
      <w:r w:rsidRPr="00204F63">
        <w:t xml:space="preserve">PWWF) is the highest observed hourly flow that occurs following a design storm event.  Wet weather I/I causes flows in the collection system to increase.  PWWF is typically used for designing sewers and lift stations.  </w:t>
      </w:r>
    </w:p>
    <w:p w:rsidR="00991FC5" w:rsidRPr="00204F63" w:rsidRDefault="00991FC5" w:rsidP="00991FC5">
      <w:pPr>
        <w:pStyle w:val="Heading4"/>
      </w:pPr>
      <w:r w:rsidRPr="00204F63">
        <w:t>Wastewater Flow Volumes</w:t>
      </w:r>
    </w:p>
    <w:p w:rsidR="00991FC5" w:rsidRPr="00204F63" w:rsidRDefault="00991FC5" w:rsidP="00991FC5">
      <w:r w:rsidRPr="00204F63">
        <w:t xml:space="preserve">The City of Cotati’s wastewater flows and projected ADWF are shown below in Table 3.13-4.  </w:t>
      </w:r>
    </w:p>
    <w:tbl>
      <w:tblPr>
        <w:tblW w:w="33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5"/>
        <w:gridCol w:w="1883"/>
        <w:gridCol w:w="1876"/>
        <w:gridCol w:w="7"/>
      </w:tblGrid>
      <w:tr w:rsidR="00991FC5" w:rsidRPr="00204F63">
        <w:trPr>
          <w:gridAfter w:val="1"/>
          <w:wAfter w:w="6" w:type="pct"/>
          <w:jc w:val="center"/>
        </w:trPr>
        <w:tc>
          <w:tcPr>
            <w:tcW w:w="4994" w:type="pct"/>
            <w:gridSpan w:val="3"/>
            <w:shd w:val="clear" w:color="auto" w:fill="000000"/>
          </w:tcPr>
          <w:p w:rsidR="00991FC5" w:rsidRPr="00204F63" w:rsidRDefault="00991FC5" w:rsidP="00991FC5">
            <w:pPr>
              <w:spacing w:after="0"/>
              <w:jc w:val="center"/>
            </w:pPr>
            <w:r w:rsidRPr="00204F63">
              <w:rPr>
                <w:rFonts w:ascii="Cambria" w:hAnsi="Cambria"/>
                <w:b/>
                <w:color w:val="FFFFFF"/>
                <w:sz w:val="20"/>
              </w:rPr>
              <w:t>Table 3.13-4: City of Cotati Wastewater Flows</w:t>
            </w:r>
          </w:p>
        </w:tc>
      </w:tr>
      <w:tr w:rsidR="00991FC5" w:rsidRPr="00204F63">
        <w:trPr>
          <w:trHeight w:val="288"/>
          <w:jc w:val="center"/>
        </w:trPr>
        <w:tc>
          <w:tcPr>
            <w:tcW w:w="1918" w:type="pct"/>
            <w:shd w:val="clear" w:color="auto" w:fill="D9D9D9"/>
            <w:vAlign w:val="center"/>
          </w:tcPr>
          <w:p w:rsidR="00991FC5" w:rsidRPr="00204F63" w:rsidRDefault="00991FC5" w:rsidP="00991FC5">
            <w:pPr>
              <w:pStyle w:val="TableHeadingRow"/>
            </w:pPr>
          </w:p>
        </w:tc>
        <w:tc>
          <w:tcPr>
            <w:tcW w:w="1541" w:type="pct"/>
            <w:shd w:val="clear" w:color="auto" w:fill="D9D9D9"/>
            <w:vAlign w:val="center"/>
          </w:tcPr>
          <w:p w:rsidR="00991FC5" w:rsidRPr="00204F63" w:rsidRDefault="00991FC5" w:rsidP="00991FC5">
            <w:pPr>
              <w:pStyle w:val="TableHeadingRow"/>
            </w:pPr>
            <w:r w:rsidRPr="00204F63">
              <w:t>Existing (2010)</w:t>
            </w:r>
          </w:p>
        </w:tc>
        <w:tc>
          <w:tcPr>
            <w:tcW w:w="1541" w:type="pct"/>
            <w:gridSpan w:val="2"/>
            <w:shd w:val="clear" w:color="auto" w:fill="D9D9D9"/>
            <w:vAlign w:val="center"/>
          </w:tcPr>
          <w:p w:rsidR="00991FC5" w:rsidRPr="00204F63" w:rsidRDefault="00991FC5" w:rsidP="00991FC5">
            <w:pPr>
              <w:pStyle w:val="TableHeadingRow"/>
            </w:pPr>
            <w:r w:rsidRPr="00204F63">
              <w:t>Buildout (2035)</w:t>
            </w:r>
          </w:p>
        </w:tc>
      </w:tr>
      <w:tr w:rsidR="00991FC5" w:rsidRPr="00204F63">
        <w:trPr>
          <w:trHeight w:val="288"/>
          <w:jc w:val="center"/>
        </w:trPr>
        <w:tc>
          <w:tcPr>
            <w:tcW w:w="1918" w:type="pct"/>
            <w:vAlign w:val="center"/>
          </w:tcPr>
          <w:p w:rsidR="00991FC5" w:rsidRPr="00204F63" w:rsidRDefault="00991FC5" w:rsidP="00991FC5">
            <w:pPr>
              <w:spacing w:after="0"/>
              <w:jc w:val="center"/>
              <w:rPr>
                <w:sz w:val="20"/>
              </w:rPr>
            </w:pPr>
            <w:r w:rsidRPr="00204F63">
              <w:rPr>
                <w:sz w:val="20"/>
              </w:rPr>
              <w:t xml:space="preserve">Average Dry Weather Flow </w:t>
            </w:r>
          </w:p>
        </w:tc>
        <w:tc>
          <w:tcPr>
            <w:tcW w:w="1541" w:type="pct"/>
            <w:shd w:val="clear" w:color="auto" w:fill="auto"/>
            <w:vAlign w:val="center"/>
          </w:tcPr>
          <w:p w:rsidR="00991FC5" w:rsidRPr="00204F63" w:rsidRDefault="00991FC5" w:rsidP="00991FC5">
            <w:pPr>
              <w:spacing w:after="0"/>
              <w:jc w:val="center"/>
              <w:rPr>
                <w:sz w:val="20"/>
              </w:rPr>
            </w:pPr>
            <w:r w:rsidRPr="00204F63">
              <w:rPr>
                <w:sz w:val="20"/>
              </w:rPr>
              <w:t>0.4</w:t>
            </w:r>
            <w:r>
              <w:rPr>
                <w:sz w:val="20"/>
              </w:rPr>
              <w:t>7</w:t>
            </w:r>
            <w:r w:rsidRPr="00204F63">
              <w:rPr>
                <w:sz w:val="20"/>
              </w:rPr>
              <w:t xml:space="preserve"> </w:t>
            </w:r>
            <w:proofErr w:type="spellStart"/>
            <w:r w:rsidRPr="00204F63">
              <w:rPr>
                <w:sz w:val="20"/>
              </w:rPr>
              <w:t>mgd</w:t>
            </w:r>
            <w:proofErr w:type="spellEnd"/>
          </w:p>
        </w:tc>
        <w:tc>
          <w:tcPr>
            <w:tcW w:w="1541" w:type="pct"/>
            <w:gridSpan w:val="2"/>
            <w:shd w:val="clear" w:color="auto" w:fill="auto"/>
            <w:vAlign w:val="center"/>
          </w:tcPr>
          <w:p w:rsidR="00991FC5" w:rsidRPr="00204F63" w:rsidRDefault="00991FC5" w:rsidP="00991FC5">
            <w:pPr>
              <w:spacing w:after="0"/>
              <w:jc w:val="center"/>
              <w:rPr>
                <w:sz w:val="20"/>
              </w:rPr>
            </w:pPr>
            <w:r w:rsidRPr="00204F63">
              <w:rPr>
                <w:sz w:val="20"/>
              </w:rPr>
              <w:t xml:space="preserve">0.66 </w:t>
            </w:r>
            <w:proofErr w:type="spellStart"/>
            <w:r w:rsidRPr="00204F63">
              <w:rPr>
                <w:sz w:val="20"/>
              </w:rPr>
              <w:t>mgd</w:t>
            </w:r>
            <w:proofErr w:type="spellEnd"/>
          </w:p>
        </w:tc>
      </w:tr>
      <w:tr w:rsidR="00991FC5" w:rsidRPr="00204F63">
        <w:trPr>
          <w:trHeight w:val="288"/>
          <w:jc w:val="center"/>
        </w:trPr>
        <w:tc>
          <w:tcPr>
            <w:tcW w:w="1918" w:type="pct"/>
            <w:vAlign w:val="center"/>
          </w:tcPr>
          <w:p w:rsidR="00991FC5" w:rsidRPr="00204F63" w:rsidRDefault="00991FC5" w:rsidP="00991FC5">
            <w:pPr>
              <w:spacing w:after="0"/>
              <w:jc w:val="center"/>
              <w:rPr>
                <w:sz w:val="20"/>
              </w:rPr>
            </w:pPr>
            <w:r w:rsidRPr="00204F63">
              <w:rPr>
                <w:sz w:val="20"/>
              </w:rPr>
              <w:t>Design Flow</w:t>
            </w:r>
          </w:p>
        </w:tc>
        <w:tc>
          <w:tcPr>
            <w:tcW w:w="1541" w:type="pct"/>
            <w:shd w:val="clear" w:color="auto" w:fill="auto"/>
            <w:vAlign w:val="center"/>
          </w:tcPr>
          <w:p w:rsidR="00991FC5" w:rsidRPr="00204F63" w:rsidRDefault="00991FC5" w:rsidP="00991FC5">
            <w:pPr>
              <w:spacing w:after="0"/>
              <w:jc w:val="center"/>
              <w:rPr>
                <w:sz w:val="20"/>
              </w:rPr>
            </w:pPr>
            <w:r w:rsidRPr="00204F63">
              <w:rPr>
                <w:sz w:val="20"/>
              </w:rPr>
              <w:t xml:space="preserve">3.90 </w:t>
            </w:r>
            <w:proofErr w:type="spellStart"/>
            <w:r w:rsidRPr="00204F63">
              <w:rPr>
                <w:sz w:val="20"/>
              </w:rPr>
              <w:t>mgd</w:t>
            </w:r>
            <w:proofErr w:type="spellEnd"/>
          </w:p>
        </w:tc>
        <w:tc>
          <w:tcPr>
            <w:tcW w:w="1541" w:type="pct"/>
            <w:gridSpan w:val="2"/>
            <w:shd w:val="clear" w:color="auto" w:fill="auto"/>
            <w:vAlign w:val="center"/>
          </w:tcPr>
          <w:p w:rsidR="00991FC5" w:rsidRPr="00204F63" w:rsidRDefault="00991FC5" w:rsidP="00991FC5">
            <w:pPr>
              <w:spacing w:after="0"/>
              <w:jc w:val="center"/>
              <w:rPr>
                <w:sz w:val="20"/>
              </w:rPr>
            </w:pPr>
            <w:r w:rsidRPr="00204F63">
              <w:rPr>
                <w:sz w:val="20"/>
              </w:rPr>
              <w:t xml:space="preserve">4.60 </w:t>
            </w:r>
            <w:proofErr w:type="spellStart"/>
            <w:r w:rsidRPr="00204F63">
              <w:rPr>
                <w:sz w:val="20"/>
              </w:rPr>
              <w:t>mgd</w:t>
            </w:r>
            <w:proofErr w:type="spellEnd"/>
          </w:p>
        </w:tc>
      </w:tr>
      <w:tr w:rsidR="00991FC5" w:rsidRPr="00204F63">
        <w:trPr>
          <w:trHeight w:val="288"/>
          <w:jc w:val="center"/>
        </w:trPr>
        <w:tc>
          <w:tcPr>
            <w:tcW w:w="1918" w:type="pct"/>
            <w:vAlign w:val="center"/>
          </w:tcPr>
          <w:p w:rsidR="00991FC5" w:rsidRPr="00204F63" w:rsidRDefault="00991FC5" w:rsidP="00991FC5">
            <w:pPr>
              <w:spacing w:after="0"/>
              <w:jc w:val="center"/>
              <w:rPr>
                <w:sz w:val="20"/>
              </w:rPr>
            </w:pPr>
            <w:r w:rsidRPr="00204F63">
              <w:rPr>
                <w:sz w:val="20"/>
              </w:rPr>
              <w:t>Peaking Factor</w:t>
            </w:r>
          </w:p>
        </w:tc>
        <w:tc>
          <w:tcPr>
            <w:tcW w:w="1541" w:type="pct"/>
            <w:shd w:val="clear" w:color="auto" w:fill="auto"/>
            <w:vAlign w:val="center"/>
          </w:tcPr>
          <w:p w:rsidR="00991FC5" w:rsidRPr="00204F63" w:rsidRDefault="00991FC5" w:rsidP="00991FC5">
            <w:pPr>
              <w:spacing w:after="0"/>
              <w:jc w:val="center"/>
              <w:rPr>
                <w:sz w:val="20"/>
              </w:rPr>
            </w:pPr>
            <w:r w:rsidRPr="00204F63">
              <w:rPr>
                <w:sz w:val="20"/>
              </w:rPr>
              <w:t>8.5</w:t>
            </w:r>
          </w:p>
        </w:tc>
        <w:tc>
          <w:tcPr>
            <w:tcW w:w="1541" w:type="pct"/>
            <w:gridSpan w:val="2"/>
            <w:shd w:val="clear" w:color="auto" w:fill="auto"/>
            <w:vAlign w:val="center"/>
          </w:tcPr>
          <w:p w:rsidR="00991FC5" w:rsidRPr="00204F63" w:rsidRDefault="00991FC5" w:rsidP="00991FC5">
            <w:pPr>
              <w:spacing w:after="0"/>
              <w:jc w:val="center"/>
              <w:rPr>
                <w:sz w:val="20"/>
              </w:rPr>
            </w:pPr>
            <w:r w:rsidRPr="00204F63">
              <w:rPr>
                <w:sz w:val="20"/>
              </w:rPr>
              <w:t>7.0</w:t>
            </w:r>
          </w:p>
        </w:tc>
      </w:tr>
    </w:tbl>
    <w:p w:rsidR="00991FC5" w:rsidRDefault="00991FC5" w:rsidP="00991FC5">
      <w:pPr>
        <w:pStyle w:val="Source"/>
        <w:spacing w:after="0"/>
        <w:ind w:left="1440"/>
      </w:pPr>
      <w:r w:rsidRPr="00204F63">
        <w:t>Source:  Cotati Sewer Collection</w:t>
      </w:r>
      <w:r>
        <w:t xml:space="preserve"> System Master Plan (2011)</w:t>
      </w:r>
      <w:r w:rsidRPr="001252CE">
        <w:t>, page 4-1</w:t>
      </w:r>
      <w:r>
        <w:t>6</w:t>
      </w:r>
    </w:p>
    <w:p w:rsidR="00991FC5" w:rsidRPr="001252CE" w:rsidRDefault="00991FC5" w:rsidP="00991FC5">
      <w:pPr>
        <w:pStyle w:val="Heading3"/>
      </w:pPr>
    </w:p>
    <w:p w:rsidR="00991FC5" w:rsidRPr="00D054B8" w:rsidRDefault="00991FC5" w:rsidP="00991FC5">
      <w:pPr>
        <w:pStyle w:val="Heading3"/>
      </w:pPr>
      <w:r w:rsidRPr="00D054B8">
        <w:t>Wastewater Treatment</w:t>
      </w:r>
    </w:p>
    <w:p w:rsidR="00991FC5" w:rsidRDefault="00991FC5" w:rsidP="00991FC5">
      <w:pPr>
        <w:rPr>
          <w:rFonts w:eastAsia="Calibri"/>
        </w:rPr>
      </w:pPr>
      <w:r w:rsidRPr="00D054B8">
        <w:rPr>
          <w:rFonts w:eastAsia="Calibri"/>
        </w:rPr>
        <w:t xml:space="preserve">The City of Santa Rosa Utilities Department is responsible for managing the </w:t>
      </w:r>
      <w:proofErr w:type="spellStart"/>
      <w:r w:rsidRPr="00D054B8">
        <w:rPr>
          <w:rFonts w:eastAsia="Calibri"/>
        </w:rPr>
        <w:t>Subregional</w:t>
      </w:r>
      <w:proofErr w:type="spellEnd"/>
      <w:r w:rsidRPr="00D054B8">
        <w:rPr>
          <w:rFonts w:eastAsia="Calibri"/>
        </w:rPr>
        <w:t xml:space="preserve"> Wastewater Treatment and Reclamation system, which handles the wastewater treatment for the City of Cotati.  Wastewater generated</w:t>
      </w:r>
      <w:r>
        <w:rPr>
          <w:rFonts w:eastAsia="Calibri"/>
        </w:rPr>
        <w:t xml:space="preserve"> by the City of Cotati is treated at the Laguna Wastewater Treatment Plant, located west of Cotati.  </w:t>
      </w:r>
    </w:p>
    <w:p w:rsidR="00991FC5" w:rsidRDefault="00991FC5" w:rsidP="00991FC5">
      <w:pPr>
        <w:pStyle w:val="Heading4"/>
        <w:rPr>
          <w:rFonts w:eastAsia="Calibri"/>
        </w:rPr>
      </w:pPr>
      <w:proofErr w:type="spellStart"/>
      <w:r>
        <w:rPr>
          <w:rFonts w:eastAsia="Calibri"/>
        </w:rPr>
        <w:t>Subregional</w:t>
      </w:r>
      <w:proofErr w:type="spellEnd"/>
      <w:r>
        <w:rPr>
          <w:rFonts w:eastAsia="Calibri"/>
        </w:rPr>
        <w:t xml:space="preserve"> Agreement</w:t>
      </w:r>
    </w:p>
    <w:p w:rsidR="00991FC5" w:rsidRDefault="00991FC5" w:rsidP="00991FC5">
      <w:pPr>
        <w:rPr>
          <w:rFonts w:eastAsia="Calibri"/>
        </w:rPr>
      </w:pPr>
      <w:r>
        <w:rPr>
          <w:rFonts w:eastAsia="Calibri"/>
        </w:rPr>
        <w:t>In 1975, the City of Santa Rosa executed an Agreement with the Cities of Rohnert Park, Sebastopol and the South Park County Sanitation District for treatment of wastewater at the Laguna Treatment Plant. At that time, Cotati’s wastewater flowed through Rohnert Park’s collection system and the combined flow continued to the Laguna Treatment Plant. In 1994, Cotati’s wastewater flow was segregated from Rohnert Park; Cotati executed the Third Amended Agreement and became a “</w:t>
      </w:r>
      <w:proofErr w:type="spellStart"/>
      <w:r>
        <w:rPr>
          <w:rFonts w:eastAsia="Calibri"/>
        </w:rPr>
        <w:t>Subregional</w:t>
      </w:r>
      <w:proofErr w:type="spellEnd"/>
      <w:r>
        <w:rPr>
          <w:rFonts w:eastAsia="Calibri"/>
        </w:rPr>
        <w:t xml:space="preserve">” partner with the cities of Santa Rosa, Rohnert Park and the South Park County Sanitation District. </w:t>
      </w:r>
      <w:proofErr w:type="gramStart"/>
      <w:r>
        <w:rPr>
          <w:rFonts w:eastAsia="Calibri"/>
        </w:rPr>
        <w:t xml:space="preserve">Currently, all wastewater from Cotati flows directly to the Laguna Treatment Plant via Cotati’s </w:t>
      </w:r>
      <w:proofErr w:type="spellStart"/>
      <w:r>
        <w:rPr>
          <w:rFonts w:eastAsia="Calibri"/>
        </w:rPr>
        <w:t>Helman</w:t>
      </w:r>
      <w:proofErr w:type="spellEnd"/>
      <w:r>
        <w:rPr>
          <w:rFonts w:eastAsia="Calibri"/>
        </w:rPr>
        <w:t xml:space="preserve"> Lane 24-inch </w:t>
      </w:r>
      <w:proofErr w:type="spellStart"/>
      <w:r>
        <w:rPr>
          <w:rFonts w:eastAsia="Calibri"/>
        </w:rPr>
        <w:t>trunkline</w:t>
      </w:r>
      <w:proofErr w:type="spellEnd"/>
      <w:r>
        <w:rPr>
          <w:rFonts w:eastAsia="Calibri"/>
        </w:rPr>
        <w:t>.</w:t>
      </w:r>
      <w:proofErr w:type="gramEnd"/>
      <w:r>
        <w:rPr>
          <w:rFonts w:eastAsia="Calibri"/>
        </w:rPr>
        <w:t xml:space="preserve"> The Third Amended Agreement assigned a flow allocation of 0.624 million gallons per day (</w:t>
      </w:r>
      <w:proofErr w:type="spellStart"/>
      <w:r>
        <w:rPr>
          <w:rFonts w:eastAsia="Calibri"/>
        </w:rPr>
        <w:t>mgd</w:t>
      </w:r>
      <w:proofErr w:type="spellEnd"/>
      <w:r>
        <w:rPr>
          <w:rFonts w:eastAsia="Calibri"/>
        </w:rPr>
        <w:t xml:space="preserve">) to Cotati. In 2002, under the Fourth Amended Agreement, Cotati’s flow allocation was increased to 0.76 </w:t>
      </w:r>
      <w:proofErr w:type="spellStart"/>
      <w:r>
        <w:rPr>
          <w:rFonts w:eastAsia="Calibri"/>
        </w:rPr>
        <w:t>mgd</w:t>
      </w:r>
      <w:proofErr w:type="spellEnd"/>
      <w:r>
        <w:rPr>
          <w:rFonts w:eastAsia="Calibri"/>
        </w:rPr>
        <w:t xml:space="preserve"> to incrementally meet treatment capacity needs for its General Plan buildout (DSP EIR, page 4.13-2).</w:t>
      </w:r>
    </w:p>
    <w:p w:rsidR="00991FC5" w:rsidRDefault="00991FC5" w:rsidP="00991FC5">
      <w:pPr>
        <w:pStyle w:val="Heading4"/>
        <w:rPr>
          <w:rFonts w:eastAsia="Calibri"/>
        </w:rPr>
      </w:pPr>
      <w:r>
        <w:rPr>
          <w:rFonts w:eastAsia="Calibri"/>
        </w:rPr>
        <w:lastRenderedPageBreak/>
        <w:t>Laguna Plant Wastewater Treatment Capacity</w:t>
      </w:r>
    </w:p>
    <w:p w:rsidR="00991FC5" w:rsidRDefault="00991FC5" w:rsidP="00991FC5">
      <w:r>
        <w:rPr>
          <w:rFonts w:eastAsia="Calibri"/>
        </w:rPr>
        <w:t>According to the City of Santa Rosa’s 2007 Update to the Recycled Water Master Plan, the City of Santa Rosa’s current National Pollutant Discharge Elimination System (NPDES) permit allows the City to treat, reuse, and discharge the annual flow resulting from receiving a daily average dry weather flow (ADWF) of 21.34 million gallons per day (</w:t>
      </w:r>
      <w:proofErr w:type="spellStart"/>
      <w:r>
        <w:rPr>
          <w:rFonts w:eastAsia="Calibri"/>
        </w:rPr>
        <w:t>mgd</w:t>
      </w:r>
      <w:proofErr w:type="spellEnd"/>
      <w:r>
        <w:rPr>
          <w:rFonts w:eastAsia="Calibri"/>
        </w:rPr>
        <w:t xml:space="preserve">) at the Laguna Plant. According to the City of Santa Rosa Utility Department website (accessed 5/3/11), the Laguna Plant </w:t>
      </w:r>
      <w:r>
        <w:t xml:space="preserve">has an average daily dry weather flow of 17.5 million gallons per day, which represents approximately 82 percent of the permitted capacity of the plant.  </w:t>
      </w:r>
    </w:p>
    <w:p w:rsidR="00991FC5" w:rsidRDefault="00991FC5" w:rsidP="00991FC5">
      <w:pPr>
        <w:rPr>
          <w:rFonts w:eastAsia="Calibri"/>
        </w:rPr>
      </w:pPr>
      <w:r>
        <w:t xml:space="preserve">Table 3.13-5 shows the sources and volume of the ADWF treated at the Laguna Plant in 2000, which is the most recent data available in the </w:t>
      </w:r>
      <w:r>
        <w:rPr>
          <w:rFonts w:eastAsia="Calibri"/>
        </w:rPr>
        <w:t>City of Santa Rosa’s 2007 Update to the Recycled Water Master Plan.</w:t>
      </w:r>
    </w:p>
    <w:tbl>
      <w:tblPr>
        <w:tblW w:w="33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8"/>
        <w:gridCol w:w="2045"/>
        <w:gridCol w:w="1494"/>
        <w:gridCol w:w="15"/>
      </w:tblGrid>
      <w:tr w:rsidR="00991FC5" w:rsidRPr="00780C79">
        <w:trPr>
          <w:jc w:val="center"/>
        </w:trPr>
        <w:tc>
          <w:tcPr>
            <w:tcW w:w="5000" w:type="pct"/>
            <w:gridSpan w:val="4"/>
            <w:shd w:val="clear" w:color="auto" w:fill="000000"/>
          </w:tcPr>
          <w:p w:rsidR="00991FC5" w:rsidRPr="00780C79" w:rsidRDefault="00991FC5" w:rsidP="00991FC5">
            <w:pPr>
              <w:spacing w:after="0"/>
              <w:jc w:val="center"/>
            </w:pPr>
            <w:r w:rsidRPr="00D054B8">
              <w:rPr>
                <w:rFonts w:ascii="Cambria" w:hAnsi="Cambria"/>
                <w:b/>
                <w:color w:val="FFFFFF"/>
                <w:sz w:val="20"/>
              </w:rPr>
              <w:t xml:space="preserve">Table </w:t>
            </w:r>
            <w:r>
              <w:rPr>
                <w:rFonts w:ascii="Cambria" w:hAnsi="Cambria"/>
                <w:b/>
                <w:color w:val="FFFFFF"/>
                <w:sz w:val="20"/>
              </w:rPr>
              <w:t>3.13-5:</w:t>
            </w:r>
            <w:r w:rsidRPr="00D054B8">
              <w:rPr>
                <w:rFonts w:ascii="Cambria" w:hAnsi="Cambria"/>
                <w:b/>
                <w:color w:val="FFFFFF"/>
                <w:sz w:val="20"/>
              </w:rPr>
              <w:t xml:space="preserve"> Laguna Wastewater Treatment Plant ADWF (2000)</w:t>
            </w:r>
          </w:p>
        </w:tc>
      </w:tr>
      <w:tr w:rsidR="00991FC5" w:rsidRPr="00780C79">
        <w:trPr>
          <w:gridAfter w:val="1"/>
          <w:wAfter w:w="12" w:type="pct"/>
          <w:trHeight w:val="288"/>
          <w:jc w:val="center"/>
        </w:trPr>
        <w:tc>
          <w:tcPr>
            <w:tcW w:w="2079" w:type="pct"/>
            <w:shd w:val="clear" w:color="auto" w:fill="D9D9D9"/>
            <w:vAlign w:val="center"/>
          </w:tcPr>
          <w:p w:rsidR="00991FC5" w:rsidRPr="00780C79" w:rsidRDefault="00991FC5">
            <w:pPr>
              <w:spacing w:after="0"/>
              <w:jc w:val="center"/>
              <w:rPr>
                <w:b/>
                <w:sz w:val="20"/>
              </w:rPr>
            </w:pPr>
            <w:r>
              <w:rPr>
                <w:b/>
                <w:sz w:val="20"/>
              </w:rPr>
              <w:t>Member Entity</w:t>
            </w:r>
          </w:p>
        </w:tc>
        <w:tc>
          <w:tcPr>
            <w:tcW w:w="1681" w:type="pct"/>
            <w:shd w:val="clear" w:color="auto" w:fill="D9D9D9"/>
            <w:vAlign w:val="center"/>
          </w:tcPr>
          <w:p w:rsidR="00991FC5" w:rsidRPr="00780C79" w:rsidRDefault="00991FC5" w:rsidP="00991FC5">
            <w:pPr>
              <w:spacing w:after="0"/>
              <w:jc w:val="center"/>
              <w:rPr>
                <w:b/>
                <w:sz w:val="20"/>
              </w:rPr>
            </w:pPr>
            <w:r>
              <w:rPr>
                <w:b/>
                <w:sz w:val="20"/>
              </w:rPr>
              <w:t>ADWF (</w:t>
            </w:r>
            <w:proofErr w:type="spellStart"/>
            <w:r>
              <w:rPr>
                <w:b/>
                <w:sz w:val="20"/>
              </w:rPr>
              <w:t>mgd</w:t>
            </w:r>
            <w:proofErr w:type="spellEnd"/>
            <w:r>
              <w:rPr>
                <w:b/>
                <w:sz w:val="20"/>
              </w:rPr>
              <w:t>)</w:t>
            </w:r>
          </w:p>
        </w:tc>
        <w:tc>
          <w:tcPr>
            <w:tcW w:w="1228" w:type="pct"/>
            <w:shd w:val="clear" w:color="auto" w:fill="D9D9D9"/>
            <w:vAlign w:val="center"/>
          </w:tcPr>
          <w:p w:rsidR="00991FC5" w:rsidRPr="00780C79" w:rsidRDefault="00991FC5">
            <w:pPr>
              <w:spacing w:after="0"/>
              <w:jc w:val="center"/>
              <w:rPr>
                <w:b/>
                <w:sz w:val="20"/>
              </w:rPr>
            </w:pPr>
            <w:r>
              <w:rPr>
                <w:b/>
                <w:sz w:val="20"/>
              </w:rPr>
              <w:t>Percent</w:t>
            </w:r>
          </w:p>
        </w:tc>
      </w:tr>
      <w:tr w:rsidR="00991FC5" w:rsidRPr="00780C79">
        <w:trPr>
          <w:gridAfter w:val="1"/>
          <w:wAfter w:w="12" w:type="pct"/>
          <w:trHeight w:val="288"/>
          <w:jc w:val="center"/>
        </w:trPr>
        <w:tc>
          <w:tcPr>
            <w:tcW w:w="2079" w:type="pct"/>
            <w:vAlign w:val="center"/>
          </w:tcPr>
          <w:p w:rsidR="00991FC5" w:rsidRPr="00780C79" w:rsidRDefault="00991FC5" w:rsidP="00991FC5">
            <w:pPr>
              <w:spacing w:after="0"/>
              <w:jc w:val="left"/>
              <w:rPr>
                <w:sz w:val="20"/>
              </w:rPr>
            </w:pPr>
            <w:r>
              <w:rPr>
                <w:sz w:val="20"/>
              </w:rPr>
              <w:t>Rohnert Park and Sonoma State University</w:t>
            </w:r>
          </w:p>
        </w:tc>
        <w:tc>
          <w:tcPr>
            <w:tcW w:w="1681" w:type="pct"/>
            <w:vAlign w:val="center"/>
          </w:tcPr>
          <w:p w:rsidR="00991FC5" w:rsidRPr="00780C79" w:rsidRDefault="00991FC5" w:rsidP="00991FC5">
            <w:pPr>
              <w:spacing w:after="0"/>
              <w:jc w:val="center"/>
              <w:rPr>
                <w:sz w:val="20"/>
              </w:rPr>
            </w:pPr>
            <w:r>
              <w:rPr>
                <w:sz w:val="20"/>
              </w:rPr>
              <w:t>3.60</w:t>
            </w:r>
          </w:p>
        </w:tc>
        <w:tc>
          <w:tcPr>
            <w:tcW w:w="1228" w:type="pct"/>
            <w:vAlign w:val="center"/>
          </w:tcPr>
          <w:p w:rsidR="00991FC5" w:rsidRPr="00780C79" w:rsidRDefault="00991FC5" w:rsidP="00991FC5">
            <w:pPr>
              <w:spacing w:after="0"/>
              <w:jc w:val="center"/>
              <w:rPr>
                <w:sz w:val="20"/>
              </w:rPr>
            </w:pPr>
            <w:r>
              <w:rPr>
                <w:sz w:val="20"/>
              </w:rPr>
              <w:t>20.11</w:t>
            </w:r>
          </w:p>
        </w:tc>
      </w:tr>
      <w:tr w:rsidR="00991FC5" w:rsidRPr="00780C79">
        <w:trPr>
          <w:gridAfter w:val="1"/>
          <w:wAfter w:w="12" w:type="pct"/>
          <w:trHeight w:val="288"/>
          <w:jc w:val="center"/>
        </w:trPr>
        <w:tc>
          <w:tcPr>
            <w:tcW w:w="2079" w:type="pct"/>
            <w:vAlign w:val="center"/>
          </w:tcPr>
          <w:p w:rsidR="00991FC5" w:rsidRDefault="00991FC5" w:rsidP="00991FC5">
            <w:pPr>
              <w:spacing w:after="0"/>
              <w:jc w:val="left"/>
              <w:rPr>
                <w:sz w:val="20"/>
              </w:rPr>
            </w:pPr>
            <w:r>
              <w:rPr>
                <w:sz w:val="20"/>
              </w:rPr>
              <w:t>Santa Rosa and South Park County Sanitation District</w:t>
            </w:r>
          </w:p>
        </w:tc>
        <w:tc>
          <w:tcPr>
            <w:tcW w:w="1681" w:type="pct"/>
            <w:vAlign w:val="center"/>
          </w:tcPr>
          <w:p w:rsidR="00991FC5" w:rsidRDefault="00991FC5" w:rsidP="00991FC5">
            <w:pPr>
              <w:spacing w:after="0"/>
              <w:jc w:val="center"/>
              <w:rPr>
                <w:sz w:val="20"/>
              </w:rPr>
            </w:pPr>
            <w:r>
              <w:rPr>
                <w:sz w:val="20"/>
              </w:rPr>
              <w:t>13.17</w:t>
            </w:r>
          </w:p>
        </w:tc>
        <w:tc>
          <w:tcPr>
            <w:tcW w:w="1228" w:type="pct"/>
            <w:vAlign w:val="center"/>
          </w:tcPr>
          <w:p w:rsidR="00991FC5" w:rsidRDefault="00991FC5" w:rsidP="00991FC5">
            <w:pPr>
              <w:spacing w:after="0"/>
              <w:jc w:val="center"/>
              <w:rPr>
                <w:sz w:val="20"/>
              </w:rPr>
            </w:pPr>
            <w:r>
              <w:rPr>
                <w:sz w:val="20"/>
              </w:rPr>
              <w:t>73.51</w:t>
            </w:r>
          </w:p>
        </w:tc>
      </w:tr>
      <w:tr w:rsidR="00991FC5" w:rsidRPr="00780C79">
        <w:trPr>
          <w:gridAfter w:val="1"/>
          <w:wAfter w:w="12" w:type="pct"/>
          <w:trHeight w:val="288"/>
          <w:jc w:val="center"/>
        </w:trPr>
        <w:tc>
          <w:tcPr>
            <w:tcW w:w="2079" w:type="pct"/>
            <w:vAlign w:val="center"/>
          </w:tcPr>
          <w:p w:rsidR="00991FC5" w:rsidRDefault="00991FC5" w:rsidP="00991FC5">
            <w:pPr>
              <w:spacing w:after="0"/>
              <w:jc w:val="left"/>
              <w:rPr>
                <w:sz w:val="20"/>
              </w:rPr>
            </w:pPr>
            <w:r>
              <w:rPr>
                <w:sz w:val="20"/>
              </w:rPr>
              <w:t>Sebastopol</w:t>
            </w:r>
          </w:p>
        </w:tc>
        <w:tc>
          <w:tcPr>
            <w:tcW w:w="1681" w:type="pct"/>
            <w:vAlign w:val="center"/>
          </w:tcPr>
          <w:p w:rsidR="00991FC5" w:rsidRDefault="00991FC5" w:rsidP="00991FC5">
            <w:pPr>
              <w:spacing w:after="0"/>
              <w:jc w:val="center"/>
              <w:rPr>
                <w:sz w:val="20"/>
              </w:rPr>
            </w:pPr>
            <w:r>
              <w:rPr>
                <w:sz w:val="20"/>
              </w:rPr>
              <w:t>0.63</w:t>
            </w:r>
          </w:p>
        </w:tc>
        <w:tc>
          <w:tcPr>
            <w:tcW w:w="1228" w:type="pct"/>
            <w:vAlign w:val="center"/>
          </w:tcPr>
          <w:p w:rsidR="00991FC5" w:rsidRDefault="00991FC5" w:rsidP="00991FC5">
            <w:pPr>
              <w:spacing w:after="0"/>
              <w:jc w:val="center"/>
              <w:rPr>
                <w:sz w:val="20"/>
              </w:rPr>
            </w:pPr>
            <w:r>
              <w:rPr>
                <w:sz w:val="20"/>
              </w:rPr>
              <w:t>3.54</w:t>
            </w:r>
          </w:p>
        </w:tc>
      </w:tr>
      <w:tr w:rsidR="00991FC5" w:rsidRPr="00780C79">
        <w:trPr>
          <w:gridAfter w:val="1"/>
          <w:wAfter w:w="12" w:type="pct"/>
          <w:trHeight w:val="288"/>
          <w:jc w:val="center"/>
        </w:trPr>
        <w:tc>
          <w:tcPr>
            <w:tcW w:w="2079" w:type="pct"/>
            <w:vAlign w:val="center"/>
          </w:tcPr>
          <w:p w:rsidR="00991FC5" w:rsidRDefault="00991FC5" w:rsidP="00991FC5">
            <w:pPr>
              <w:spacing w:after="0"/>
              <w:jc w:val="left"/>
              <w:rPr>
                <w:sz w:val="20"/>
              </w:rPr>
            </w:pPr>
            <w:r>
              <w:rPr>
                <w:sz w:val="20"/>
              </w:rPr>
              <w:t>Cotati</w:t>
            </w:r>
          </w:p>
        </w:tc>
        <w:tc>
          <w:tcPr>
            <w:tcW w:w="1681" w:type="pct"/>
            <w:vAlign w:val="center"/>
          </w:tcPr>
          <w:p w:rsidR="00991FC5" w:rsidRDefault="00991FC5" w:rsidP="00991FC5">
            <w:pPr>
              <w:spacing w:after="0"/>
              <w:jc w:val="center"/>
              <w:rPr>
                <w:sz w:val="20"/>
              </w:rPr>
            </w:pPr>
            <w:r>
              <w:rPr>
                <w:sz w:val="20"/>
              </w:rPr>
              <w:t>0.51</w:t>
            </w:r>
          </w:p>
        </w:tc>
        <w:tc>
          <w:tcPr>
            <w:tcW w:w="1228" w:type="pct"/>
            <w:vAlign w:val="center"/>
          </w:tcPr>
          <w:p w:rsidR="00991FC5" w:rsidRDefault="00991FC5" w:rsidP="00991FC5">
            <w:pPr>
              <w:spacing w:after="0"/>
              <w:jc w:val="center"/>
              <w:rPr>
                <w:sz w:val="20"/>
              </w:rPr>
            </w:pPr>
            <w:r>
              <w:rPr>
                <w:sz w:val="20"/>
              </w:rPr>
              <w:t>2.84</w:t>
            </w:r>
          </w:p>
        </w:tc>
      </w:tr>
      <w:tr w:rsidR="00991FC5" w:rsidRPr="00780C79">
        <w:trPr>
          <w:gridAfter w:val="1"/>
          <w:wAfter w:w="12" w:type="pct"/>
          <w:trHeight w:val="288"/>
          <w:jc w:val="center"/>
        </w:trPr>
        <w:tc>
          <w:tcPr>
            <w:tcW w:w="2079" w:type="pct"/>
            <w:vAlign w:val="center"/>
          </w:tcPr>
          <w:p w:rsidR="00991FC5" w:rsidRPr="0016197E" w:rsidRDefault="00991FC5" w:rsidP="00991FC5">
            <w:pPr>
              <w:spacing w:after="0"/>
              <w:jc w:val="left"/>
              <w:rPr>
                <w:b/>
                <w:sz w:val="20"/>
              </w:rPr>
            </w:pPr>
            <w:r w:rsidRPr="0016197E">
              <w:rPr>
                <w:b/>
                <w:sz w:val="20"/>
              </w:rPr>
              <w:t>Total</w:t>
            </w:r>
          </w:p>
        </w:tc>
        <w:tc>
          <w:tcPr>
            <w:tcW w:w="1681" w:type="pct"/>
            <w:vAlign w:val="center"/>
          </w:tcPr>
          <w:p w:rsidR="00991FC5" w:rsidRPr="0016197E" w:rsidRDefault="00991FC5" w:rsidP="00991FC5">
            <w:pPr>
              <w:spacing w:after="0"/>
              <w:jc w:val="center"/>
              <w:rPr>
                <w:b/>
                <w:sz w:val="20"/>
              </w:rPr>
            </w:pPr>
            <w:r>
              <w:rPr>
                <w:b/>
                <w:sz w:val="20"/>
              </w:rPr>
              <w:t>17.91</w:t>
            </w:r>
          </w:p>
        </w:tc>
        <w:tc>
          <w:tcPr>
            <w:tcW w:w="1228" w:type="pct"/>
            <w:vAlign w:val="center"/>
          </w:tcPr>
          <w:p w:rsidR="00991FC5" w:rsidRPr="0016197E" w:rsidRDefault="00991FC5" w:rsidP="00991FC5">
            <w:pPr>
              <w:spacing w:after="0"/>
              <w:jc w:val="center"/>
              <w:rPr>
                <w:b/>
                <w:sz w:val="20"/>
              </w:rPr>
            </w:pPr>
            <w:r>
              <w:rPr>
                <w:b/>
                <w:sz w:val="20"/>
              </w:rPr>
              <w:t>100.00</w:t>
            </w:r>
          </w:p>
        </w:tc>
      </w:tr>
    </w:tbl>
    <w:p w:rsidR="00991FC5" w:rsidRDefault="00991FC5" w:rsidP="00991FC5">
      <w:pPr>
        <w:pStyle w:val="Source"/>
        <w:ind w:left="1440"/>
        <w:rPr>
          <w:rFonts w:eastAsia="Calibri"/>
        </w:rPr>
      </w:pPr>
      <w:r>
        <w:rPr>
          <w:rFonts w:eastAsia="Calibri"/>
        </w:rPr>
        <w:t>Source: City of Santa Rosa’s 2007 Update to the Recycled Water Master Plan, Table 1.</w:t>
      </w:r>
    </w:p>
    <w:p w:rsidR="00991FC5" w:rsidRDefault="00991FC5" w:rsidP="00991FC5">
      <w:pPr>
        <w:rPr>
          <w:rFonts w:eastAsia="Calibri"/>
        </w:rPr>
      </w:pPr>
      <w:r>
        <w:rPr>
          <w:rFonts w:eastAsia="Calibri"/>
        </w:rPr>
        <w:t xml:space="preserve">As shown in the table above, the wastewater generated by the City of Cotati represented less than three percent of the total wastewater treated at the Laguna Wastewater Treatment Plant in the year 2000.  </w:t>
      </w:r>
    </w:p>
    <w:p w:rsidR="00991FC5" w:rsidRDefault="00991FC5" w:rsidP="00991FC5">
      <w:pPr>
        <w:rPr>
          <w:rFonts w:eastAsia="Calibri"/>
        </w:rPr>
      </w:pPr>
      <w:r>
        <w:rPr>
          <w:rFonts w:eastAsia="Calibri"/>
        </w:rPr>
        <w:t xml:space="preserve">City of Santa Rosa’s 2007 Update to the Recycled Water Master Plan estimates that in 2020, total ADWF to the Laguna Plant will be approximately 25.89 </w:t>
      </w:r>
      <w:proofErr w:type="spellStart"/>
      <w:r>
        <w:rPr>
          <w:rFonts w:eastAsia="Calibri"/>
        </w:rPr>
        <w:t>mgd</w:t>
      </w:r>
      <w:proofErr w:type="spellEnd"/>
      <w:r>
        <w:rPr>
          <w:rFonts w:eastAsia="Calibri"/>
        </w:rPr>
        <w:t xml:space="preserve">, which exceeds the current NPDES permit capacity of the plant.  </w:t>
      </w:r>
    </w:p>
    <w:p w:rsidR="00991FC5" w:rsidRDefault="00991FC5" w:rsidP="00991FC5">
      <w:pPr>
        <w:pStyle w:val="Heading4"/>
        <w:rPr>
          <w:rFonts w:eastAsia="Calibri"/>
        </w:rPr>
      </w:pPr>
      <w:r>
        <w:rPr>
          <w:rFonts w:eastAsia="Calibri"/>
        </w:rPr>
        <w:t>Laguna Plant Wastewater Treatment Process</w:t>
      </w:r>
    </w:p>
    <w:p w:rsidR="00991FC5" w:rsidRDefault="00991FC5" w:rsidP="00991FC5">
      <w:pPr>
        <w:rPr>
          <w:rFonts w:eastAsia="Calibri"/>
        </w:rPr>
      </w:pPr>
      <w:r>
        <w:rPr>
          <w:rFonts w:eastAsia="Calibri"/>
        </w:rPr>
        <w:t>The following summary of the wastewater treatment process at the Laguna Plant was derived from the City of Santa Rosa Utility Department’s website</w:t>
      </w:r>
      <w:r>
        <w:rPr>
          <w:rStyle w:val="FootnoteReference"/>
          <w:rFonts w:eastAsia="Calibri"/>
        </w:rPr>
        <w:footnoteReference w:id="2"/>
      </w:r>
      <w:r>
        <w:rPr>
          <w:rFonts w:eastAsia="Calibri"/>
        </w:rPr>
        <w:t xml:space="preserve"> (accessed 5/3/11).</w:t>
      </w:r>
    </w:p>
    <w:p w:rsidR="00991FC5" w:rsidRDefault="00991FC5" w:rsidP="00991FC5">
      <w:pPr>
        <w:pStyle w:val="Heading6"/>
        <w:rPr>
          <w:rFonts w:eastAsia="Calibri"/>
        </w:rPr>
      </w:pPr>
      <w:r>
        <w:rPr>
          <w:rFonts w:eastAsia="Calibri"/>
        </w:rPr>
        <w:t>Primary Treatment</w:t>
      </w:r>
    </w:p>
    <w:p w:rsidR="00991FC5" w:rsidRDefault="00991FC5" w:rsidP="00991FC5">
      <w:r>
        <w:t xml:space="preserve">Sewage from homes, business, and industry arrives at the treatment plant by passing through large bar screens that remove wood, paper, and plastics from the water. Sand and gravel then settle out in the grit tank and are removed. Clarification tanks allow lighter materials to float to the </w:t>
      </w:r>
      <w:r>
        <w:lastRenderedPageBreak/>
        <w:t xml:space="preserve">surface and be skimmed off. Heavier material, called </w:t>
      </w:r>
      <w:proofErr w:type="spellStart"/>
      <w:r>
        <w:t>biosolids</w:t>
      </w:r>
      <w:proofErr w:type="spellEnd"/>
      <w:r>
        <w:t>, falls to the bottom and is pumped to anaerobic digesters. Bacteria in the digesters break solids down, creating methane gas.</w:t>
      </w:r>
    </w:p>
    <w:p w:rsidR="00991FC5" w:rsidRDefault="00991FC5" w:rsidP="00991FC5">
      <w:r>
        <w:t xml:space="preserve">Methane powered generators serve as the source of energy for a sixth of the treatment process. Solids are digested for up to thirty days, reducing their volume by 50%. Following a dewatering process, </w:t>
      </w:r>
      <w:proofErr w:type="spellStart"/>
      <w:r>
        <w:t>biosolids</w:t>
      </w:r>
      <w:proofErr w:type="spellEnd"/>
      <w:r>
        <w:t xml:space="preserve"> are blended with </w:t>
      </w:r>
      <w:proofErr w:type="spellStart"/>
      <w:r>
        <w:t>greenwaste</w:t>
      </w:r>
      <w:proofErr w:type="spellEnd"/>
      <w:r>
        <w:t xml:space="preserve"> material to create compost, or they are applied directly to farmers’ fields as fertilizer. A small quantity is sent to the landfill.</w:t>
      </w:r>
    </w:p>
    <w:p w:rsidR="00991FC5" w:rsidRDefault="00991FC5" w:rsidP="00991FC5">
      <w:pPr>
        <w:pStyle w:val="Heading6"/>
      </w:pPr>
      <w:r>
        <w:t>Secondary Treatment</w:t>
      </w:r>
    </w:p>
    <w:p w:rsidR="00991FC5" w:rsidRPr="0016197E" w:rsidRDefault="00991FC5" w:rsidP="00991FC5">
      <w:pPr>
        <w:rPr>
          <w:rFonts w:eastAsia="Calibri"/>
        </w:rPr>
      </w:pPr>
      <w:r w:rsidRPr="0016197E">
        <w:rPr>
          <w:rFonts w:eastAsia="Calibri"/>
        </w:rPr>
        <w:t xml:space="preserve">After the majority of solids have been removed, water flows into aeration basins. The aeration basins are tanks injected with oxygen to stimulate the growth of microorganisms and their consumption of dissolved wastes. These microorganisms modify pollutants to reduce their impact on the environment. </w:t>
      </w:r>
    </w:p>
    <w:p w:rsidR="00991FC5" w:rsidRDefault="00991FC5" w:rsidP="00991FC5">
      <w:pPr>
        <w:rPr>
          <w:rFonts w:eastAsia="Calibri"/>
        </w:rPr>
      </w:pPr>
      <w:r w:rsidRPr="0016197E">
        <w:rPr>
          <w:rFonts w:eastAsia="Calibri"/>
        </w:rPr>
        <w:t>As the water moves toward the next treatment phase, the microorganisms are removed in clarification tanks. As they settle to the bottom of the clarifiers, they are returned to the aeration basins to re-supply the self-sustainin</w:t>
      </w:r>
      <w:r>
        <w:rPr>
          <w:rFonts w:eastAsia="Calibri"/>
        </w:rPr>
        <w:t xml:space="preserve">g population of microorganisms. Clean water continues on to further treatment.  </w:t>
      </w:r>
    </w:p>
    <w:p w:rsidR="00991FC5" w:rsidRDefault="00991FC5" w:rsidP="00991FC5">
      <w:pPr>
        <w:pStyle w:val="Heading6"/>
        <w:rPr>
          <w:rFonts w:eastAsia="Calibri"/>
        </w:rPr>
      </w:pPr>
      <w:r>
        <w:rPr>
          <w:rFonts w:eastAsia="Calibri"/>
        </w:rPr>
        <w:t>Tertiary Treatment and Disinfection</w:t>
      </w:r>
    </w:p>
    <w:p w:rsidR="00991FC5" w:rsidRDefault="00991FC5" w:rsidP="00991FC5">
      <w:pPr>
        <w:rPr>
          <w:rFonts w:eastAsia="Calibri"/>
        </w:rPr>
      </w:pPr>
      <w:r>
        <w:t>The water flows through a four-foot bed of coal. This small, black, granular coal (like the type used in some fish aquariums) acts as a filter to trap fine suspended solids and some potential pathogens, or disease causing organisms. Finally, ultraviolet light (UV) removes bacteria and viruses by destroying their DNA, the genetic material needed to reproduce. The reclaimed water then leaves the plant, and is clean enough for many approved reuse purposes.</w:t>
      </w:r>
    </w:p>
    <w:p w:rsidR="00991FC5" w:rsidRPr="005B41CD" w:rsidRDefault="00991FC5" w:rsidP="00991FC5">
      <w:pPr>
        <w:pStyle w:val="Heading3"/>
      </w:pPr>
      <w:r w:rsidRPr="005B41CD">
        <w:t>On-Site Systems</w:t>
      </w:r>
    </w:p>
    <w:p w:rsidR="00991FC5" w:rsidRPr="005B41CD" w:rsidRDefault="00991FC5" w:rsidP="00991FC5">
      <w:r w:rsidRPr="005B41CD">
        <w:t xml:space="preserve">On-site systems, commonly referred to as septic systems, are useful for handling the wastewater disposal needs of individual dwellings or commercial establishments for which connection to community facilities is not feasible. An on-site system consists of a septic tank that receives wastewater, allows the heavier solids to settle in the tank, and releases the remainder to an attached leach field. The leach field consists of underground perforated parallel lines through which water can seep into the surrounding soil. The solids which settled out of the wastewater in the septic tank must be periodically removed. </w:t>
      </w:r>
    </w:p>
    <w:p w:rsidR="00991FC5" w:rsidRPr="005B41CD" w:rsidRDefault="00991FC5" w:rsidP="00991FC5">
      <w:r w:rsidRPr="005B41CD">
        <w:t>Septic tanks work well in areas of low density development where there is sufficient room to separate leach lines from potable water wells and lines. On-site systems are relatively inexpensive, easy to maintain, and contribute to water recharge in the area. However, on-site systems require certain soil conditions, topography, and water table conditions in order to work. If the proper conditions are not present, the leach field can become saturated and groundwater may become contaminated.</w:t>
      </w:r>
    </w:p>
    <w:p w:rsidR="00991FC5" w:rsidRPr="005B41CD" w:rsidRDefault="00991FC5" w:rsidP="00991FC5">
      <w:r w:rsidRPr="005B41CD">
        <w:t xml:space="preserve">A serious problem associated with on-site systems is the potential for groundwater contamination. On-site systems that serve commercial or industrial establishments may dispose of chemicals that are not adequately filtered prior to being leached into the soil. For industrial properties where </w:t>
      </w:r>
      <w:r w:rsidRPr="005B41CD">
        <w:lastRenderedPageBreak/>
        <w:t>groundwater contamination is a concern due to chemical waste, chlorine injection or evaporation ponds must be provided in order to ensure safe disposal of sewage.</w:t>
      </w:r>
    </w:p>
    <w:p w:rsidR="00991FC5" w:rsidRPr="00D82AC5" w:rsidRDefault="00991FC5" w:rsidP="00991FC5">
      <w:r w:rsidRPr="00D13C22">
        <w:t xml:space="preserve">Properties in Cotati that are within </w:t>
      </w:r>
      <w:r>
        <w:t>2</w:t>
      </w:r>
      <w:r w:rsidRPr="00D13C22">
        <w:t>00 feet of an existing City wastewater conveyance line are required to connect to the City’s wastewater system (</w:t>
      </w:r>
      <w:r>
        <w:t>Cotati Municipal Code Chapter 13.36.030</w:t>
      </w:r>
      <w:r w:rsidRPr="00D13C22">
        <w:t xml:space="preserve">).  Property owners with parcels further than </w:t>
      </w:r>
      <w:r>
        <w:t>2</w:t>
      </w:r>
      <w:r w:rsidRPr="00D13C22">
        <w:t xml:space="preserve">00 feet from an existing City wastewater conveyance line wishing to install and </w:t>
      </w:r>
      <w:r w:rsidRPr="00D82AC5">
        <w:t xml:space="preserve">operate a septic system must receive a permit from the Sonoma County Permit and Resource Management Department.  Consistent with SRWCB requirements </w:t>
      </w:r>
      <w:r>
        <w:t xml:space="preserve">established by AB 885, </w:t>
      </w:r>
      <w:r w:rsidRPr="00D82AC5">
        <w:t xml:space="preserve">described </w:t>
      </w:r>
      <w:r>
        <w:t>below</w:t>
      </w:r>
      <w:r w:rsidRPr="00D82AC5">
        <w:t xml:space="preserve">, the County’s septic system application process requires applicants to provide detailed information regarding soil types, percolation rates, distances to ground water and detailed site plans.  </w:t>
      </w:r>
    </w:p>
    <w:p w:rsidR="00991FC5" w:rsidRPr="00D82AC5" w:rsidRDefault="00991FC5" w:rsidP="00991FC5">
      <w:pPr>
        <w:pStyle w:val="Heading3"/>
      </w:pPr>
      <w:r w:rsidRPr="00D82AC5">
        <w:t>Regulatory Setting - Wastewater</w:t>
      </w:r>
    </w:p>
    <w:p w:rsidR="00991FC5" w:rsidRPr="00D82AC5" w:rsidRDefault="00991FC5" w:rsidP="00991FC5">
      <w:pPr>
        <w:pStyle w:val="Heading5"/>
      </w:pPr>
      <w:r w:rsidRPr="00D82AC5">
        <w:t>State</w:t>
      </w:r>
    </w:p>
    <w:p w:rsidR="00991FC5" w:rsidRDefault="00991FC5" w:rsidP="00991FC5">
      <w:pPr>
        <w:pStyle w:val="Heading4"/>
      </w:pPr>
      <w:r w:rsidRPr="00D82AC5">
        <w:t>State Water Resources</w:t>
      </w:r>
      <w:r>
        <w:t xml:space="preserve"> Control Board/Regional Water Quality Control Board</w:t>
      </w:r>
    </w:p>
    <w:p w:rsidR="00991FC5" w:rsidRPr="00FF7796" w:rsidRDefault="00991FC5" w:rsidP="00991FC5">
      <w:r w:rsidRPr="00FF7796">
        <w:t xml:space="preserve">In California, all wastewater treatment and disposal systems fall under the overall regulatory authority of the State Water Resources Control Board (SWRCB) and the nine California Regional Water Quality Control Boards (RWQCBs), who are charged with the responsibility of protecting beneficial uses of </w:t>
      </w:r>
      <w:r>
        <w:t>s</w:t>
      </w:r>
      <w:r w:rsidRPr="00FF7796">
        <w:t xml:space="preserve">tate waters (ground and surface) from a variety of waste discharges, including wastewater from individual and municipal systems. The City of Cotati falls within the jurisdiction of the North Coast RWQCB. </w:t>
      </w:r>
    </w:p>
    <w:p w:rsidR="00991FC5" w:rsidRPr="00FF7796" w:rsidRDefault="00991FC5" w:rsidP="00991FC5">
      <w:r w:rsidRPr="00FF7796">
        <w:t xml:space="preserve">The RWQCB’s regulatory role often involves the formation and implementation of basic water protection policies. These are reflected in the individual RWQCB’s Basin Plan, generally in the form of guidelines, criteria and/or prohibitions related to the siting, design, construction, and maintenance of on-site sewage disposal systems. The SWRCB’s role has historically been one of providing overall policy direction, organizational and technical assistance, and a communications link to the </w:t>
      </w:r>
      <w:r>
        <w:t>s</w:t>
      </w:r>
      <w:r w:rsidRPr="00FF7796">
        <w:t xml:space="preserve">tate legislature. </w:t>
      </w:r>
    </w:p>
    <w:p w:rsidR="00991FC5" w:rsidRPr="00FF7796" w:rsidRDefault="00991FC5" w:rsidP="00991FC5">
      <w:r w:rsidRPr="00FF7796">
        <w:t xml:space="preserve">The RWQCBs may waive or delegate regulatory authority for on-site sewage disposal systems to </w:t>
      </w:r>
      <w:r>
        <w:t>c</w:t>
      </w:r>
      <w:r w:rsidRPr="00FF7796">
        <w:t xml:space="preserve">ounties, </w:t>
      </w:r>
      <w:r>
        <w:t>c</w:t>
      </w:r>
      <w:r w:rsidRPr="00FF7796">
        <w:t xml:space="preserve">ities or special districts. Although not mandatory, it is commonly done and has proven to be administratively efficient. In some cases this is accomplished through a Memorandum of Understanding (MOU), whereby the local agency commits to enforcing the Basin Plan requirements or other specified standards that may be more restrictive. The RWQCBs generally elect to retain permitting authority over large and/or commercial or industrial on-site sewage disposal systems, depending on the volume and character of the wastewater. </w:t>
      </w:r>
    </w:p>
    <w:p w:rsidR="00991FC5" w:rsidRPr="00242A8B" w:rsidRDefault="00991FC5" w:rsidP="00991FC5">
      <w:pPr>
        <w:pStyle w:val="Heading4"/>
      </w:pPr>
      <w:r w:rsidRPr="00242A8B">
        <w:t xml:space="preserve">Individual On-site Sewage Disposal System Regulations </w:t>
      </w:r>
    </w:p>
    <w:p w:rsidR="00991FC5" w:rsidRPr="00242A8B" w:rsidRDefault="00991FC5" w:rsidP="00991FC5">
      <w:r w:rsidRPr="00242A8B">
        <w:t xml:space="preserve">Regulation of individual on-site sewage disposal systems in and around the City of Cotati occurs at a variety of levels, including by the SWRCB, through the North Coast RWQCB, and locally, by the </w:t>
      </w:r>
      <w:r>
        <w:t>Sonoma County Permit and Resources Management Department</w:t>
      </w:r>
      <w:r w:rsidRPr="00242A8B">
        <w:t xml:space="preserve">. </w:t>
      </w:r>
      <w:r>
        <w:t xml:space="preserve"> </w:t>
      </w:r>
      <w:r w:rsidRPr="00242A8B">
        <w:t xml:space="preserve">Recently, the State of California </w:t>
      </w:r>
      <w:r w:rsidRPr="00242A8B">
        <w:lastRenderedPageBreak/>
        <w:t xml:space="preserve">enacted legislation that will require the establishment of statewide standards for on-site sewage disposal systems. The following sections describe the primary regulatory mechanisms in place for on-site sewage disposal systems. </w:t>
      </w:r>
    </w:p>
    <w:p w:rsidR="00991FC5" w:rsidRPr="00242A8B" w:rsidRDefault="00991FC5" w:rsidP="00991FC5">
      <w:pPr>
        <w:pStyle w:val="Heading4"/>
      </w:pPr>
      <w:r w:rsidRPr="00242A8B">
        <w:t>Regional Water Quality Control Board Basin Plan for the North Coast Region</w:t>
      </w:r>
    </w:p>
    <w:p w:rsidR="00991FC5" w:rsidRPr="00242A8B" w:rsidRDefault="00991FC5" w:rsidP="00991FC5">
      <w:r w:rsidRPr="00242A8B">
        <w:t xml:space="preserve">The North Coast RWQCB has adopted policies and requirements pertaining to on-site sewage disposal systems, commonly referred to as the Basin Plan.  The most recent North Coast RWQCB Basin Plan was adopted in March 2011.  </w:t>
      </w:r>
    </w:p>
    <w:p w:rsidR="00991FC5" w:rsidRPr="00242A8B" w:rsidRDefault="00991FC5" w:rsidP="00991FC5">
      <w:r w:rsidRPr="00242A8B">
        <w:t xml:space="preserve">The on-site sewage disposal systems element of the Basin Plan sets forth various objectives, guidelines, general principles and recommendations for the use of on-site sewage disposal systems that cover a variety of topics. Mandatory requirements for the siting and design of on-site sewage disposal systems are reflected in the Basin Plan. Included for all on-site sewage disposal systems are specific criteria related to separation distances to groundwater, setbacks to water features, soil conditions, percolation rates, special design systems, and </w:t>
      </w:r>
      <w:proofErr w:type="spellStart"/>
      <w:r w:rsidRPr="00242A8B">
        <w:t>leachfield</w:t>
      </w:r>
      <w:proofErr w:type="spellEnd"/>
      <w:r w:rsidRPr="00242A8B">
        <w:t xml:space="preserve"> replacement area. Further discussion of these criteria is provided later in this section. </w:t>
      </w:r>
    </w:p>
    <w:p w:rsidR="00991FC5" w:rsidRPr="005B41CD" w:rsidRDefault="00991FC5" w:rsidP="00991FC5">
      <w:pPr>
        <w:pStyle w:val="Heading4"/>
      </w:pPr>
      <w:r w:rsidRPr="005B41CD">
        <w:t xml:space="preserve">Assembly Bill 885 (AB 885) </w:t>
      </w:r>
    </w:p>
    <w:p w:rsidR="00991FC5" w:rsidRPr="005B41CD" w:rsidRDefault="00991FC5" w:rsidP="00991FC5">
      <w:r w:rsidRPr="005B41CD">
        <w:t>AB 885 was passed by the California Legislature in September 2000, and mandates the establishment of statewide standards to regulate the placement and use of on-site wastewater treatment systems (OWTS). The SWRCB has been charged with developing this critical set of uniform statewide standards for on-site sewage disposal systems that are required to be incorporated into all RWQCB Basin Plans in the near future. For the past several years the SWRCB has been in the process of developing statewide regulations for on-site wastewater treatment systems per AB 885. The key aspects of the proposed regulations include:</w:t>
      </w:r>
    </w:p>
    <w:p w:rsidR="00991FC5" w:rsidRPr="005B41CD" w:rsidRDefault="00991FC5" w:rsidP="00991FC5">
      <w:proofErr w:type="gramStart"/>
      <w:r w:rsidRPr="005B41CD">
        <w:rPr>
          <w:rFonts w:cs="Calibri"/>
          <w:b/>
        </w:rPr>
        <w:t>Site Evaluation Practices.</w:t>
      </w:r>
      <w:proofErr w:type="gramEnd"/>
      <w:r w:rsidRPr="005B41CD">
        <w:rPr>
          <w:rFonts w:cs="Calibri"/>
        </w:rPr>
        <w:t xml:space="preserve"> The proposed regulations will mandate more </w:t>
      </w:r>
      <w:r w:rsidRPr="005B41CD">
        <w:t xml:space="preserve">thorough and consistent soil and site evaluation practices for all new and repair/replacement OWTS for verification of soil depth and groundwater levels. Current practices focus primarily on attaining minimum horizontal setbacks and determination of groundwater separation, not on determination of soil texture, structure or depth. Proposed definitions for soil (especially rock content and weathered bedrock) will require more thorough and extensive soil profile evaluations and stricter interpretations of suitability than under current practices. </w:t>
      </w:r>
    </w:p>
    <w:p w:rsidR="00991FC5" w:rsidRPr="005B41CD" w:rsidRDefault="00991FC5" w:rsidP="00991FC5">
      <w:proofErr w:type="gramStart"/>
      <w:r w:rsidRPr="005B41CD">
        <w:rPr>
          <w:rFonts w:cs="Calibri"/>
          <w:b/>
        </w:rPr>
        <w:t>Operation and Maintenance (O&amp;M) Manuals.</w:t>
      </w:r>
      <w:proofErr w:type="gramEnd"/>
      <w:r w:rsidRPr="005B41CD">
        <w:rPr>
          <w:rFonts w:cs="Calibri"/>
        </w:rPr>
        <w:t xml:space="preserve"> The proposed AB 885 </w:t>
      </w:r>
      <w:r w:rsidRPr="005B41CD">
        <w:t xml:space="preserve">regulations require the preparation of an O&amp;M manual for all new and repair/replacement OWTS. </w:t>
      </w:r>
    </w:p>
    <w:p w:rsidR="00991FC5" w:rsidRPr="005B41CD" w:rsidRDefault="00991FC5" w:rsidP="00991FC5">
      <w:r w:rsidRPr="005B41CD">
        <w:rPr>
          <w:rFonts w:cs="Calibri"/>
          <w:b/>
        </w:rPr>
        <w:t>Septic Tank Risers and Effluent</w:t>
      </w:r>
      <w:r w:rsidRPr="005B41CD">
        <w:rPr>
          <w:b/>
        </w:rPr>
        <w:t xml:space="preserve"> Filters.</w:t>
      </w:r>
      <w:r w:rsidRPr="005B41CD">
        <w:t xml:space="preserve"> Access risers to “near” grade and the use of effluent filters will be required under the proposed regulations. These requirements will apply to new standard systems as well as supplemental treatment systems, and for any tank replacements. </w:t>
      </w:r>
    </w:p>
    <w:p w:rsidR="00991FC5" w:rsidRPr="005B41CD" w:rsidRDefault="00991FC5" w:rsidP="00991FC5">
      <w:proofErr w:type="gramStart"/>
      <w:r w:rsidRPr="005B41CD">
        <w:rPr>
          <w:rFonts w:cs="Calibri"/>
          <w:b/>
        </w:rPr>
        <w:t>Supplemental Treatment Systems.</w:t>
      </w:r>
      <w:proofErr w:type="gramEnd"/>
      <w:r w:rsidRPr="005B41CD">
        <w:rPr>
          <w:rFonts w:cs="Calibri"/>
        </w:rPr>
        <w:t xml:space="preserve"> The proposed regulations have </w:t>
      </w:r>
      <w:r w:rsidRPr="005B41CD">
        <w:t xml:space="preserve">minimum vertical separation requirements that will lead to increased use of supplemental treatment systems. Minimum vertical </w:t>
      </w:r>
      <w:r w:rsidRPr="005B41CD">
        <w:lastRenderedPageBreak/>
        <w:t xml:space="preserve">separation is the depth of continuous unsaturated, undisturbed earthen material between the bottom of the dispersal system and the top of the seasonal high groundwater level, impermeable strata, or bedrock. </w:t>
      </w:r>
    </w:p>
    <w:p w:rsidR="00991FC5" w:rsidRPr="005B41CD" w:rsidRDefault="00991FC5" w:rsidP="00991FC5">
      <w:r w:rsidRPr="005B41CD">
        <w:rPr>
          <w:rFonts w:cs="Calibri"/>
          <w:b/>
        </w:rPr>
        <w:t>Dispersal System Siting and Design Criteria.</w:t>
      </w:r>
      <w:r w:rsidRPr="005B41CD">
        <w:rPr>
          <w:rFonts w:cs="Calibri"/>
        </w:rPr>
        <w:t xml:space="preserve"> The proposed dispersal </w:t>
      </w:r>
      <w:r w:rsidRPr="005B41CD">
        <w:t xml:space="preserve">system siting and design requirements are generally consistent with and/or less restrictive than the current RWQCB Basin Plan. Many of the requirements are structured to allow for more latitude in the use of supplemental treatment to overcome soil depth/suitability constraints for OWTS. Based on the soil definitions in the proposed regulations, there is likely to be an increased need to specify supplemental treatment systems and shallow dispersal designs (including mounds) for sites that may have been permitted for conventional trench designs under current practices. </w:t>
      </w:r>
    </w:p>
    <w:p w:rsidR="00991FC5" w:rsidRPr="005B41CD" w:rsidRDefault="00991FC5" w:rsidP="00991FC5">
      <w:r w:rsidRPr="005B41CD">
        <w:rPr>
          <w:rFonts w:cs="Calibri"/>
          <w:b/>
        </w:rPr>
        <w:t>Groundwater Quality and Septic Tank Monitoring.</w:t>
      </w:r>
      <w:r w:rsidRPr="005B41CD">
        <w:rPr>
          <w:rFonts w:cs="Calibri"/>
        </w:rPr>
        <w:t xml:space="preserve"> The proposed AB </w:t>
      </w:r>
      <w:r w:rsidRPr="005B41CD">
        <w:t xml:space="preserve">885 regulations will mandate new groundwater sampling and septic tank inspections requirements for new and existing OWTS. The proposed regulations do not explicitly require the City to enforce this requirement or to collect and maintain any of the results from sampling that is performed. However, as the local agency responsible for implementing the regulations, at a minimum, </w:t>
      </w:r>
      <w:r>
        <w:t>Sonoma County</w:t>
      </w:r>
      <w:r w:rsidRPr="005B41CD">
        <w:t xml:space="preserve"> would be obligated to provide some level of oversight for these activities</w:t>
      </w:r>
      <w:r>
        <w:t>.</w:t>
      </w:r>
      <w:r w:rsidRPr="005B41CD">
        <w:t xml:space="preserve"> </w:t>
      </w:r>
    </w:p>
    <w:p w:rsidR="00991FC5" w:rsidRPr="003E74EE" w:rsidRDefault="00991FC5" w:rsidP="00991FC5">
      <w:pPr>
        <w:rPr>
          <w:highlight w:val="yellow"/>
        </w:rPr>
      </w:pPr>
      <w:r w:rsidRPr="005B41CD">
        <w:rPr>
          <w:rFonts w:cs="Calibri"/>
          <w:b/>
        </w:rPr>
        <w:t>Record Keeping</w:t>
      </w:r>
      <w:r w:rsidRPr="005B41CD">
        <w:rPr>
          <w:rFonts w:cs="Calibri"/>
        </w:rPr>
        <w:t xml:space="preserve">. The proposed </w:t>
      </w:r>
      <w:r w:rsidRPr="00D13C22">
        <w:rPr>
          <w:rFonts w:cs="Calibri"/>
        </w:rPr>
        <w:t xml:space="preserve">requirements specify only that system </w:t>
      </w:r>
      <w:r w:rsidRPr="00D13C22">
        <w:t xml:space="preserve">owners maintain copies of the Record Plan and the O&amp;M Manual for the OWTS. </w:t>
      </w:r>
    </w:p>
    <w:p w:rsidR="00991FC5" w:rsidRDefault="00991FC5" w:rsidP="00991FC5">
      <w:pPr>
        <w:pStyle w:val="Heading5"/>
      </w:pPr>
      <w:r>
        <w:t>Local</w:t>
      </w:r>
    </w:p>
    <w:p w:rsidR="00991FC5" w:rsidRDefault="00991FC5" w:rsidP="00991FC5">
      <w:pPr>
        <w:pStyle w:val="Heading4"/>
      </w:pPr>
      <w:r>
        <w:t>Cotati Municipal Code</w:t>
      </w:r>
    </w:p>
    <w:p w:rsidR="00991FC5" w:rsidRPr="00365FF3" w:rsidRDefault="00991FC5" w:rsidP="00991FC5">
      <w:r w:rsidRPr="00242A8B">
        <w:t>Chapter 13.37.010 of the Cotati Municipal Code allows for the discharge of waste from any premises within the city onto land or to any natural outlet, only if the discharge complies with all requirements of the Regional Water Quality Control Board and of all other local, state and federal laws and regulations.</w:t>
      </w:r>
    </w:p>
    <w:p w:rsidR="00991FC5" w:rsidRDefault="00991FC5" w:rsidP="00991FC5">
      <w:pPr>
        <w:pStyle w:val="Heading4"/>
      </w:pPr>
      <w:proofErr w:type="gramStart"/>
      <w:r>
        <w:t>Cotati  Sewer</w:t>
      </w:r>
      <w:proofErr w:type="gramEnd"/>
      <w:r>
        <w:t xml:space="preserve"> Collection System Master Plan</w:t>
      </w:r>
    </w:p>
    <w:p w:rsidR="00991FC5" w:rsidRDefault="00991FC5" w:rsidP="00991FC5">
      <w:r>
        <w:t xml:space="preserve">The City’s Sewer Collection System Master Plan (SCSMP) evaluates the adequacy of the City’s sewer collection system, identifies system deficiencies (present and future), and develops prioritized recommendations to meet the City’s collection needs through the year 2035.  The Sewer Collection System Master Plan contains a summary of the existing sewer system facilities, an evaluation of sewage flows, an evaluation of inflow and infiltration flows, development of a hydraulic model, the identification of existing and future system deficiencies, and prioritized recommendations and cost estimates for improving the system through the year 2035.  The City finalized the Sewer Collection System Master Plan in September 2011.  </w:t>
      </w:r>
    </w:p>
    <w:p w:rsidR="00991FC5" w:rsidRPr="00365FF3" w:rsidRDefault="00991FC5" w:rsidP="00991FC5">
      <w:pPr>
        <w:pStyle w:val="Heading4"/>
      </w:pPr>
      <w:r>
        <w:t>Santa Rosa Recycled Water Master Plan</w:t>
      </w:r>
    </w:p>
    <w:p w:rsidR="00991FC5" w:rsidRDefault="00991FC5" w:rsidP="00991FC5">
      <w:pPr>
        <w:rPr>
          <w:rFonts w:eastAsia="Calibri"/>
        </w:rPr>
      </w:pPr>
      <w:r>
        <w:rPr>
          <w:rFonts w:eastAsia="Calibri"/>
        </w:rPr>
        <w:t xml:space="preserve">The purpose of the Santa Rosa Recycled Water Master Plan is to assist the City in deciding how to manage additional wastewater flows into the </w:t>
      </w:r>
      <w:proofErr w:type="spellStart"/>
      <w:r>
        <w:rPr>
          <w:rFonts w:eastAsia="Calibri"/>
        </w:rPr>
        <w:t>Subregional</w:t>
      </w:r>
      <w:proofErr w:type="spellEnd"/>
      <w:r>
        <w:rPr>
          <w:rFonts w:eastAsia="Calibri"/>
        </w:rPr>
        <w:t xml:space="preserve"> Water Reclamation System resulting from updates to the general plans of partner cities within the </w:t>
      </w:r>
      <w:proofErr w:type="spellStart"/>
      <w:r>
        <w:rPr>
          <w:rFonts w:eastAsia="Calibri"/>
        </w:rPr>
        <w:t>subregional</w:t>
      </w:r>
      <w:proofErr w:type="spellEnd"/>
      <w:r>
        <w:rPr>
          <w:rFonts w:eastAsia="Calibri"/>
        </w:rPr>
        <w:t xml:space="preserve"> system. It also must </w:t>
      </w:r>
      <w:r>
        <w:rPr>
          <w:rFonts w:eastAsia="Calibri"/>
        </w:rPr>
        <w:lastRenderedPageBreak/>
        <w:t xml:space="preserve">describe methods for managing current and future flows that are discharged and which are affected by new regulations, including the California Toxics Rule (CTR). The sum of these flows is the incremental flow to be addressed by the Incremental Recycled Water Program (IRWP). The City of Santa Rosa (City) is the managing partner for the </w:t>
      </w:r>
      <w:proofErr w:type="spellStart"/>
      <w:r>
        <w:rPr>
          <w:rFonts w:eastAsia="Calibri"/>
        </w:rPr>
        <w:t>Subregional</w:t>
      </w:r>
      <w:proofErr w:type="spellEnd"/>
      <w:r>
        <w:rPr>
          <w:rFonts w:eastAsia="Calibri"/>
        </w:rPr>
        <w:t xml:space="preserve"> System.  The Master Plan formulates a course of actions for implementing facilities under the IRWP to manage the incremental flow. All areas where these facilities would be implemented are within Sonoma County, except for a small portion of the Geysers </w:t>
      </w:r>
      <w:proofErr w:type="spellStart"/>
      <w:r>
        <w:rPr>
          <w:rFonts w:eastAsia="Calibri"/>
        </w:rPr>
        <w:t>Steamfield</w:t>
      </w:r>
      <w:proofErr w:type="spellEnd"/>
      <w:r>
        <w:rPr>
          <w:rFonts w:eastAsia="Calibri"/>
        </w:rPr>
        <w:t>, which is located in Lake County.</w:t>
      </w:r>
    </w:p>
    <w:p w:rsidR="00991FC5" w:rsidRPr="00E26A14" w:rsidRDefault="00991FC5" w:rsidP="00991FC5">
      <w:pPr>
        <w:pStyle w:val="Heading3"/>
      </w:pPr>
      <w:r w:rsidRPr="00E26A14">
        <w:t>Thresholds of Significance</w:t>
      </w:r>
    </w:p>
    <w:p w:rsidR="00991FC5" w:rsidRPr="00E26A14" w:rsidRDefault="00991FC5" w:rsidP="00991FC5">
      <w:r w:rsidRPr="00E26A14">
        <w:t>Consistent with Appendix G of the CEQA Guidelines, the proposed project will have a significant impact on the environment associated with Utilities if it will:</w:t>
      </w:r>
    </w:p>
    <w:p w:rsidR="00991FC5" w:rsidRPr="00E26A14" w:rsidRDefault="00991FC5" w:rsidP="00991FC5">
      <w:pPr>
        <w:pStyle w:val="ListBullet"/>
        <w:numPr>
          <w:ilvl w:val="0"/>
          <w:numId w:val="1"/>
        </w:numPr>
        <w:contextualSpacing w:val="0"/>
      </w:pPr>
      <w:r w:rsidRPr="00E26A14">
        <w:t>Exceed wastewater treatment requirements of the applicable Regional Water Quality Control Board.</w:t>
      </w:r>
    </w:p>
    <w:p w:rsidR="00991FC5" w:rsidRPr="00E26A14" w:rsidRDefault="00991FC5" w:rsidP="00991FC5">
      <w:pPr>
        <w:pStyle w:val="ListBullet"/>
        <w:numPr>
          <w:ilvl w:val="0"/>
          <w:numId w:val="1"/>
        </w:numPr>
        <w:contextualSpacing w:val="0"/>
      </w:pPr>
      <w:r w:rsidRPr="00E26A14">
        <w:t>Require or result in the construction of new wastewater treatment facilities or expansion of existing facilities, the construction of which could cause significant environmental effects.</w:t>
      </w:r>
    </w:p>
    <w:p w:rsidR="00991FC5" w:rsidRPr="00E26A14" w:rsidRDefault="00991FC5" w:rsidP="00991FC5">
      <w:pPr>
        <w:pStyle w:val="ListBullet"/>
        <w:numPr>
          <w:ilvl w:val="0"/>
          <w:numId w:val="1"/>
        </w:numPr>
      </w:pPr>
      <w:r w:rsidRPr="00E26A14">
        <w:t>Result in a determination by the wastewater treatment provider which serves or may serve the project that is has adequate capacity to serve the project’s projected demand in addition to the provider’s existing commitments.</w:t>
      </w:r>
    </w:p>
    <w:p w:rsidR="00991FC5" w:rsidRPr="00BE4567" w:rsidRDefault="00991FC5" w:rsidP="00991FC5">
      <w:pPr>
        <w:pStyle w:val="Heading3"/>
      </w:pPr>
      <w:r w:rsidRPr="00BE4567">
        <w:t>Impacts and Mitigation Measures</w:t>
      </w:r>
    </w:p>
    <w:p w:rsidR="00991FC5" w:rsidRDefault="00991FC5" w:rsidP="00991FC5">
      <w:pPr>
        <w:pStyle w:val="Heading4"/>
      </w:pPr>
      <w:r w:rsidRPr="00BE4567">
        <w:t>Impact 3.13-3: Potential to exceed wastewater treatment capacity or the requirements of the RWQCB (</w:t>
      </w:r>
      <w:r>
        <w:t>Cumulatively Considerable and Significant and Unavoidable</w:t>
      </w:r>
      <w:r w:rsidRPr="00BE4567">
        <w:t>)</w:t>
      </w:r>
    </w:p>
    <w:p w:rsidR="00991FC5" w:rsidRDefault="00991FC5" w:rsidP="00991FC5">
      <w:pPr>
        <w:rPr>
          <w:rFonts w:eastAsia="Calibri"/>
        </w:rPr>
      </w:pPr>
      <w:r w:rsidRPr="00D054B8">
        <w:rPr>
          <w:rFonts w:eastAsia="Calibri"/>
        </w:rPr>
        <w:t xml:space="preserve">The City of Santa Rosa Utilities Department is responsible for managing the </w:t>
      </w:r>
      <w:proofErr w:type="spellStart"/>
      <w:r w:rsidRPr="00D054B8">
        <w:rPr>
          <w:rFonts w:eastAsia="Calibri"/>
        </w:rPr>
        <w:t>Subregional</w:t>
      </w:r>
      <w:proofErr w:type="spellEnd"/>
      <w:r w:rsidRPr="00D054B8">
        <w:rPr>
          <w:rFonts w:eastAsia="Calibri"/>
        </w:rPr>
        <w:t xml:space="preserve"> Wastewater Treatment and Reclamation system, which handles the wastewater treatment for the City of Cotati.  Wastewater generated</w:t>
      </w:r>
      <w:r>
        <w:rPr>
          <w:rFonts w:eastAsia="Calibri"/>
        </w:rPr>
        <w:t xml:space="preserve"> by the City of Cotati is treated at the Laguna Wastewater Treatment Plant, located to the west of Cotati.  </w:t>
      </w:r>
    </w:p>
    <w:p w:rsidR="00991FC5" w:rsidRDefault="00991FC5" w:rsidP="00991FC5">
      <w:pPr>
        <w:rPr>
          <w:rFonts w:eastAsia="Calibri"/>
        </w:rPr>
      </w:pPr>
      <w:r>
        <w:rPr>
          <w:rFonts w:eastAsia="Calibri"/>
        </w:rPr>
        <w:t>In 1975, the City of Santa Rosa executed an Agreement with the Cities of Rohnert Park, Sebastopol and the South Park County Sanitation District for treatment of wastewater at the Laguna Treatment Plant. At that time, Cotati’s wastewater flowed through Rohnert Park’s collection system and the combined flow continued to the Laguna Treatment Plant. In 1994, Cotati’s wastewater flow was segregated from Rohnert Park; Cotati executed the Third Amended Agreement and became a “</w:t>
      </w:r>
      <w:proofErr w:type="spellStart"/>
      <w:r>
        <w:rPr>
          <w:rFonts w:eastAsia="Calibri"/>
        </w:rPr>
        <w:t>Subregional</w:t>
      </w:r>
      <w:proofErr w:type="spellEnd"/>
      <w:r>
        <w:rPr>
          <w:rFonts w:eastAsia="Calibri"/>
        </w:rPr>
        <w:t xml:space="preserve">” partner with the cities of Santa Rosa, Rohnert Park and the South Park County Sanitation District. </w:t>
      </w:r>
      <w:proofErr w:type="gramStart"/>
      <w:r>
        <w:rPr>
          <w:rFonts w:eastAsia="Calibri"/>
        </w:rPr>
        <w:t xml:space="preserve">Currently, all wastewater from Cotati flows directly to the Laguna Treatment Plant via Cotati’s </w:t>
      </w:r>
      <w:proofErr w:type="spellStart"/>
      <w:r>
        <w:rPr>
          <w:rFonts w:eastAsia="Calibri"/>
        </w:rPr>
        <w:t>Helman</w:t>
      </w:r>
      <w:proofErr w:type="spellEnd"/>
      <w:r>
        <w:rPr>
          <w:rFonts w:eastAsia="Calibri"/>
        </w:rPr>
        <w:t xml:space="preserve"> Lane 24-inch </w:t>
      </w:r>
      <w:proofErr w:type="spellStart"/>
      <w:r>
        <w:rPr>
          <w:rFonts w:eastAsia="Calibri"/>
        </w:rPr>
        <w:t>trunkline</w:t>
      </w:r>
      <w:proofErr w:type="spellEnd"/>
      <w:r>
        <w:rPr>
          <w:rFonts w:eastAsia="Calibri"/>
        </w:rPr>
        <w:t>.</w:t>
      </w:r>
      <w:proofErr w:type="gramEnd"/>
      <w:r>
        <w:rPr>
          <w:rFonts w:eastAsia="Calibri"/>
        </w:rPr>
        <w:t xml:space="preserve"> The Third Amended Agreement assigned a flow allocation of 0.624 million gallons per day (</w:t>
      </w:r>
      <w:proofErr w:type="spellStart"/>
      <w:r>
        <w:rPr>
          <w:rFonts w:eastAsia="Calibri"/>
        </w:rPr>
        <w:t>mgd</w:t>
      </w:r>
      <w:proofErr w:type="spellEnd"/>
      <w:r>
        <w:rPr>
          <w:rFonts w:eastAsia="Calibri"/>
        </w:rPr>
        <w:t xml:space="preserve">) to Cotati. In 2002, under the Fourth Amended Agreement, Cotati’s flow allocation was increased to 0.76 </w:t>
      </w:r>
      <w:proofErr w:type="spellStart"/>
      <w:r>
        <w:rPr>
          <w:rFonts w:eastAsia="Calibri"/>
        </w:rPr>
        <w:t>mgd</w:t>
      </w:r>
      <w:proofErr w:type="spellEnd"/>
      <w:r>
        <w:rPr>
          <w:rFonts w:eastAsia="Calibri"/>
        </w:rPr>
        <w:t xml:space="preserve"> to </w:t>
      </w:r>
      <w:r>
        <w:rPr>
          <w:rFonts w:eastAsia="Calibri"/>
        </w:rPr>
        <w:lastRenderedPageBreak/>
        <w:t>incrementally meet treatment capacity needs for its 1998 General Plan buildout (DSP EIR, page 4.13-2).</w:t>
      </w:r>
    </w:p>
    <w:p w:rsidR="00991FC5" w:rsidRDefault="00991FC5" w:rsidP="00991FC5">
      <w:pPr>
        <w:rPr>
          <w:rFonts w:eastAsia="Calibri"/>
        </w:rPr>
      </w:pPr>
      <w:r>
        <w:rPr>
          <w:rFonts w:eastAsia="Calibri"/>
        </w:rPr>
        <w:t xml:space="preserve">Existing (2010) ADWF generated in Cotati is 0.47 </w:t>
      </w:r>
      <w:proofErr w:type="spellStart"/>
      <w:r>
        <w:rPr>
          <w:rFonts w:eastAsia="Calibri"/>
        </w:rPr>
        <w:t>mgd</w:t>
      </w:r>
      <w:proofErr w:type="spellEnd"/>
      <w:r>
        <w:rPr>
          <w:rFonts w:eastAsia="Calibri"/>
        </w:rPr>
        <w:t xml:space="preserve">, as shown in Table 3.13-4.  The 2011 Cotati Sewer Collection System Master Plan estimated that the future (2035) ADWF would be 0.66 </w:t>
      </w:r>
      <w:proofErr w:type="spellStart"/>
      <w:r>
        <w:rPr>
          <w:rFonts w:eastAsia="Calibri"/>
        </w:rPr>
        <w:t>mgd</w:t>
      </w:r>
      <w:proofErr w:type="spellEnd"/>
      <w:r>
        <w:rPr>
          <w:rFonts w:eastAsia="Calibri"/>
        </w:rPr>
        <w:t xml:space="preserve">.  The estimate of 0.66 </w:t>
      </w:r>
      <w:proofErr w:type="spellStart"/>
      <w:r>
        <w:rPr>
          <w:rFonts w:eastAsia="Calibri"/>
        </w:rPr>
        <w:t>mgd</w:t>
      </w:r>
      <w:proofErr w:type="spellEnd"/>
      <w:r>
        <w:rPr>
          <w:rFonts w:eastAsia="Calibri"/>
        </w:rPr>
        <w:t xml:space="preserve"> shown in the 2011 Sewer Collection System Master Plan (Table 4.5) is based on a 2035 population of 9,889.  Buildout of the 2013 General Plan is projected to result in a total buildout population of 11,085 residents within the City limits, and 12,553 residents within the entire Planning Area.  These growth projections represent a 12% increase and a 26.9% increase, respectively, when compared to the population growth projections used in the 2011 Sewer Collection System Master Plan 2035 ADWF projections.  </w:t>
      </w:r>
    </w:p>
    <w:p w:rsidR="00991FC5" w:rsidRDefault="00991FC5" w:rsidP="00991FC5">
      <w:pPr>
        <w:rPr>
          <w:rFonts w:eastAsia="Calibri"/>
        </w:rPr>
      </w:pPr>
      <w:r>
        <w:rPr>
          <w:rFonts w:eastAsia="Calibri"/>
        </w:rPr>
        <w:t xml:space="preserve">Upon full buildout of the 2013 General Plan within the City limits, total ADWF is projected to be 0.74 </w:t>
      </w:r>
      <w:proofErr w:type="spellStart"/>
      <w:r>
        <w:rPr>
          <w:rFonts w:eastAsia="Calibri"/>
        </w:rPr>
        <w:t>mgd</w:t>
      </w:r>
      <w:proofErr w:type="spellEnd"/>
      <w:r>
        <w:rPr>
          <w:rFonts w:eastAsia="Calibri"/>
        </w:rPr>
        <w:t xml:space="preserve">.  Within the entire Planning Area, the ADWF would be 0.83 </w:t>
      </w:r>
      <w:proofErr w:type="spellStart"/>
      <w:r>
        <w:rPr>
          <w:rFonts w:eastAsia="Calibri"/>
        </w:rPr>
        <w:t>mgd</w:t>
      </w:r>
      <w:proofErr w:type="spellEnd"/>
      <w:r>
        <w:rPr>
          <w:rFonts w:eastAsia="Calibri"/>
        </w:rPr>
        <w:t xml:space="preserve"> upon full buildout of the General Plan.  These ADWF projections exceed the projections used in the 2011 Sewer Collection System Master Plan.  </w:t>
      </w:r>
    </w:p>
    <w:p w:rsidR="00991FC5" w:rsidRDefault="00991FC5" w:rsidP="00991FC5">
      <w:pPr>
        <w:rPr>
          <w:rFonts w:eastAsia="Calibri"/>
        </w:rPr>
      </w:pPr>
      <w:r>
        <w:rPr>
          <w:rFonts w:eastAsia="Calibri"/>
        </w:rPr>
        <w:t xml:space="preserve">The generation of 0.74 </w:t>
      </w:r>
      <w:proofErr w:type="spellStart"/>
      <w:r>
        <w:rPr>
          <w:rFonts w:eastAsia="Calibri"/>
        </w:rPr>
        <w:t>mgd</w:t>
      </w:r>
      <w:proofErr w:type="spellEnd"/>
      <w:r>
        <w:rPr>
          <w:rFonts w:eastAsia="Calibri"/>
        </w:rPr>
        <w:t xml:space="preserve"> associated with General Plan buildout within the City limits is within the flow allocation of 0.76 </w:t>
      </w:r>
      <w:proofErr w:type="spellStart"/>
      <w:r>
        <w:rPr>
          <w:rFonts w:eastAsia="Calibri"/>
        </w:rPr>
        <w:t>mgd</w:t>
      </w:r>
      <w:proofErr w:type="spellEnd"/>
      <w:r>
        <w:rPr>
          <w:rFonts w:eastAsia="Calibri"/>
        </w:rPr>
        <w:t xml:space="preserve"> allocated to Cotati under the 2002 fourth amendment to the </w:t>
      </w:r>
      <w:proofErr w:type="spellStart"/>
      <w:r>
        <w:rPr>
          <w:rFonts w:eastAsia="Calibri"/>
        </w:rPr>
        <w:t>Subregional</w:t>
      </w:r>
      <w:proofErr w:type="spellEnd"/>
      <w:r>
        <w:rPr>
          <w:rFonts w:eastAsia="Calibri"/>
        </w:rPr>
        <w:t xml:space="preserve"> Partnership with the City of Santa Rosa.  However, the 0.83 </w:t>
      </w:r>
      <w:proofErr w:type="spellStart"/>
      <w:r>
        <w:rPr>
          <w:rFonts w:eastAsia="Calibri"/>
        </w:rPr>
        <w:t>mgd</w:t>
      </w:r>
      <w:proofErr w:type="spellEnd"/>
      <w:r>
        <w:rPr>
          <w:rFonts w:eastAsia="Calibri"/>
        </w:rPr>
        <w:t xml:space="preserve"> ADWF associated with full buildout of the Planning Area would exceed the 0.76 </w:t>
      </w:r>
      <w:proofErr w:type="spellStart"/>
      <w:r>
        <w:rPr>
          <w:rFonts w:eastAsia="Calibri"/>
        </w:rPr>
        <w:t>mgd</w:t>
      </w:r>
      <w:proofErr w:type="spellEnd"/>
      <w:r>
        <w:rPr>
          <w:rFonts w:eastAsia="Calibri"/>
        </w:rPr>
        <w:t xml:space="preserve"> allocation under the existing </w:t>
      </w:r>
      <w:proofErr w:type="spellStart"/>
      <w:r>
        <w:rPr>
          <w:rFonts w:eastAsia="Calibri"/>
        </w:rPr>
        <w:t>Subregional</w:t>
      </w:r>
      <w:proofErr w:type="spellEnd"/>
      <w:r>
        <w:rPr>
          <w:rFonts w:eastAsia="Calibri"/>
        </w:rPr>
        <w:t xml:space="preserve"> agreement terms.  </w:t>
      </w:r>
    </w:p>
    <w:p w:rsidR="00991FC5" w:rsidRDefault="00991FC5" w:rsidP="00991FC5">
      <w:pPr>
        <w:rPr>
          <w:rFonts w:eastAsia="Calibri"/>
        </w:rPr>
      </w:pPr>
      <w:r w:rsidRPr="00B05788">
        <w:rPr>
          <w:rFonts w:eastAsia="Calibri"/>
        </w:rPr>
        <w:t>The Laguna Wastewater Treatment Plant is a tertiary-level treatment facility with the</w:t>
      </w:r>
      <w:r>
        <w:rPr>
          <w:rFonts w:eastAsia="Calibri"/>
        </w:rPr>
        <w:t xml:space="preserve"> </w:t>
      </w:r>
      <w:r w:rsidRPr="00B05788">
        <w:rPr>
          <w:rFonts w:eastAsia="Calibri"/>
        </w:rPr>
        <w:t>capacity to process 21.34 million gallons per day (</w:t>
      </w:r>
      <w:proofErr w:type="spellStart"/>
      <w:r w:rsidRPr="00B05788">
        <w:rPr>
          <w:rFonts w:eastAsia="Calibri"/>
        </w:rPr>
        <w:t>mgd</w:t>
      </w:r>
      <w:proofErr w:type="spellEnd"/>
      <w:r w:rsidRPr="00B05788">
        <w:rPr>
          <w:rFonts w:eastAsia="Calibri"/>
        </w:rPr>
        <w:t>).</w:t>
      </w:r>
      <w:r>
        <w:rPr>
          <w:rStyle w:val="FootnoteReference"/>
          <w:rFonts w:eastAsia="Calibri"/>
        </w:rPr>
        <w:footnoteReference w:id="3"/>
      </w:r>
      <w:r w:rsidRPr="00B05788">
        <w:rPr>
          <w:rFonts w:eastAsia="Calibri"/>
        </w:rPr>
        <w:t xml:space="preserve"> According to the</w:t>
      </w:r>
      <w:r>
        <w:rPr>
          <w:rFonts w:eastAsia="Calibri"/>
        </w:rPr>
        <w:t xml:space="preserve"> </w:t>
      </w:r>
      <w:r w:rsidRPr="00B05788">
        <w:rPr>
          <w:rFonts w:eastAsia="Calibri"/>
        </w:rPr>
        <w:t>Treatment Plant utility overview website, average daily dry weather flow is 17.5</w:t>
      </w:r>
      <w:r>
        <w:rPr>
          <w:rFonts w:eastAsia="Calibri"/>
        </w:rPr>
        <w:t xml:space="preserve"> </w:t>
      </w:r>
      <w:r w:rsidRPr="00B05788">
        <w:rPr>
          <w:rFonts w:eastAsia="Calibri"/>
        </w:rPr>
        <w:t>million gallons, using about 82% of the plant’s permitted capacity.</w:t>
      </w:r>
    </w:p>
    <w:p w:rsidR="00991FC5" w:rsidRDefault="00991FC5" w:rsidP="00991FC5">
      <w:pPr>
        <w:rPr>
          <w:rFonts w:eastAsia="Calibri"/>
        </w:rPr>
      </w:pPr>
      <w:r w:rsidRPr="00B05788">
        <w:rPr>
          <w:rFonts w:eastAsia="Calibri"/>
        </w:rPr>
        <w:t>According to the 2007 Update to the Incremental Recycled Water Plan, the Laguna</w:t>
      </w:r>
      <w:r>
        <w:rPr>
          <w:rFonts w:eastAsia="Calibri"/>
        </w:rPr>
        <w:t xml:space="preserve"> </w:t>
      </w:r>
      <w:r w:rsidRPr="00B05788">
        <w:rPr>
          <w:rFonts w:eastAsia="Calibri"/>
        </w:rPr>
        <w:t>Treatment Plant will be expanding total permitted treatment capacity from 21.34</w:t>
      </w:r>
      <w:r>
        <w:rPr>
          <w:rFonts w:eastAsia="Calibri"/>
        </w:rPr>
        <w:t xml:space="preserve"> </w:t>
      </w:r>
      <w:proofErr w:type="spellStart"/>
      <w:r w:rsidRPr="00B05788">
        <w:rPr>
          <w:rFonts w:eastAsia="Calibri"/>
        </w:rPr>
        <w:t>mgd</w:t>
      </w:r>
      <w:proofErr w:type="spellEnd"/>
      <w:r w:rsidRPr="00B05788">
        <w:rPr>
          <w:rFonts w:eastAsia="Calibri"/>
        </w:rPr>
        <w:t xml:space="preserve"> to 25.9 </w:t>
      </w:r>
      <w:proofErr w:type="spellStart"/>
      <w:r w:rsidRPr="00B05788">
        <w:rPr>
          <w:rFonts w:eastAsia="Calibri"/>
        </w:rPr>
        <w:t>mgd</w:t>
      </w:r>
      <w:proofErr w:type="spellEnd"/>
      <w:r w:rsidRPr="00B05788">
        <w:rPr>
          <w:rFonts w:eastAsia="Calibri"/>
        </w:rPr>
        <w:t>. The plan states that, at the earliest, total 2020 projected flow</w:t>
      </w:r>
      <w:r>
        <w:rPr>
          <w:rFonts w:eastAsia="Calibri"/>
        </w:rPr>
        <w:t xml:space="preserve"> </w:t>
      </w:r>
      <w:r w:rsidRPr="00B05788">
        <w:rPr>
          <w:rFonts w:eastAsia="Calibri"/>
        </w:rPr>
        <w:t xml:space="preserve">demand will be 25.89 </w:t>
      </w:r>
      <w:proofErr w:type="spellStart"/>
      <w:r w:rsidRPr="00B05788">
        <w:rPr>
          <w:rFonts w:eastAsia="Calibri"/>
        </w:rPr>
        <w:t>mgd</w:t>
      </w:r>
      <w:proofErr w:type="spellEnd"/>
      <w:r w:rsidRPr="00B05788">
        <w:rPr>
          <w:rFonts w:eastAsia="Calibri"/>
        </w:rPr>
        <w:t>.</w:t>
      </w:r>
      <w:r>
        <w:rPr>
          <w:rStyle w:val="FootnoteReference"/>
          <w:rFonts w:eastAsia="Calibri"/>
        </w:rPr>
        <w:footnoteReference w:id="4"/>
      </w:r>
    </w:p>
    <w:p w:rsidR="00991FC5" w:rsidRDefault="00991FC5" w:rsidP="00991FC5">
      <w:pPr>
        <w:rPr>
          <w:rFonts w:eastAsia="Calibri"/>
        </w:rPr>
      </w:pPr>
      <w:r w:rsidRPr="00B05788">
        <w:rPr>
          <w:rFonts w:eastAsia="Calibri"/>
        </w:rPr>
        <w:t>Future</w:t>
      </w:r>
      <w:r>
        <w:rPr>
          <w:rFonts w:eastAsia="Calibri"/>
        </w:rPr>
        <w:t xml:space="preserve"> </w:t>
      </w:r>
      <w:proofErr w:type="spellStart"/>
      <w:r>
        <w:rPr>
          <w:rFonts w:eastAsia="Calibri"/>
        </w:rPr>
        <w:t>Subregional</w:t>
      </w:r>
      <w:proofErr w:type="spellEnd"/>
      <w:r>
        <w:rPr>
          <w:rFonts w:eastAsia="Calibri"/>
        </w:rPr>
        <w:t xml:space="preserve"> Partner wastewater</w:t>
      </w:r>
      <w:r w:rsidRPr="00B05788">
        <w:rPr>
          <w:rFonts w:eastAsia="Calibri"/>
        </w:rPr>
        <w:t xml:space="preserve"> </w:t>
      </w:r>
      <w:r>
        <w:rPr>
          <w:rFonts w:eastAsia="Calibri"/>
        </w:rPr>
        <w:t>treatment allocations for the Laguna Treatment Plant</w:t>
      </w:r>
      <w:r w:rsidRPr="00B05788">
        <w:rPr>
          <w:rFonts w:eastAsia="Calibri"/>
        </w:rPr>
        <w:t xml:space="preserve"> will be based on approved General Plans or General</w:t>
      </w:r>
      <w:r>
        <w:rPr>
          <w:rFonts w:eastAsia="Calibri"/>
        </w:rPr>
        <w:t xml:space="preserve"> </w:t>
      </w:r>
      <w:r w:rsidRPr="00B05788">
        <w:rPr>
          <w:rFonts w:eastAsia="Calibri"/>
        </w:rPr>
        <w:t>Plan updates</w:t>
      </w:r>
      <w:r>
        <w:rPr>
          <w:rFonts w:eastAsia="Calibri"/>
        </w:rPr>
        <w:t xml:space="preserve"> (including the 2013 Cotati General Plan)</w:t>
      </w:r>
      <w:r w:rsidRPr="00B05788">
        <w:rPr>
          <w:rFonts w:eastAsia="Calibri"/>
        </w:rPr>
        <w:t xml:space="preserve">. </w:t>
      </w:r>
      <w:r>
        <w:rPr>
          <w:rFonts w:eastAsia="Calibri"/>
        </w:rPr>
        <w:t>At the time of preparation of this EIR,</w:t>
      </w:r>
      <w:r w:rsidRPr="00B05788">
        <w:rPr>
          <w:rFonts w:eastAsia="Calibri"/>
        </w:rPr>
        <w:t xml:space="preserve"> </w:t>
      </w:r>
      <w:r>
        <w:rPr>
          <w:rFonts w:eastAsia="Calibri"/>
        </w:rPr>
        <w:t>Cotati’s</w:t>
      </w:r>
      <w:r w:rsidRPr="00B05788">
        <w:rPr>
          <w:rFonts w:eastAsia="Calibri"/>
        </w:rPr>
        <w:t xml:space="preserve"> capacity allocation remains at 0.76 </w:t>
      </w:r>
      <w:proofErr w:type="spellStart"/>
      <w:r w:rsidRPr="00B05788">
        <w:rPr>
          <w:rFonts w:eastAsia="Calibri"/>
        </w:rPr>
        <w:t>mgd</w:t>
      </w:r>
      <w:proofErr w:type="spellEnd"/>
      <w:r w:rsidRPr="00B05788">
        <w:rPr>
          <w:rFonts w:eastAsia="Calibri"/>
        </w:rPr>
        <w:t xml:space="preserve">. </w:t>
      </w:r>
      <w:r>
        <w:rPr>
          <w:rFonts w:eastAsia="Calibri"/>
        </w:rPr>
        <w:t>I</w:t>
      </w:r>
      <w:r w:rsidRPr="00B05788">
        <w:rPr>
          <w:rFonts w:eastAsia="Calibri"/>
        </w:rPr>
        <w:t>n order to</w:t>
      </w:r>
      <w:r>
        <w:rPr>
          <w:rFonts w:eastAsia="Calibri"/>
        </w:rPr>
        <w:t xml:space="preserve"> </w:t>
      </w:r>
      <w:r w:rsidRPr="00B05788">
        <w:rPr>
          <w:rFonts w:eastAsia="Calibri"/>
        </w:rPr>
        <w:t>meet projected flows</w:t>
      </w:r>
      <w:r>
        <w:rPr>
          <w:rFonts w:eastAsia="Calibri"/>
        </w:rPr>
        <w:t xml:space="preserve"> under cumulative General Plan buildout conditions, the City’s allocation would need to be increased to at least 0.83 </w:t>
      </w:r>
      <w:proofErr w:type="spellStart"/>
      <w:r>
        <w:rPr>
          <w:rFonts w:eastAsia="Calibri"/>
        </w:rPr>
        <w:t>mgd</w:t>
      </w:r>
      <w:proofErr w:type="spellEnd"/>
      <w:r w:rsidRPr="00B05788">
        <w:rPr>
          <w:rFonts w:eastAsia="Calibri"/>
        </w:rPr>
        <w:t>.</w:t>
      </w:r>
      <w:r>
        <w:rPr>
          <w:rFonts w:eastAsia="Calibri"/>
        </w:rPr>
        <w:t xml:space="preserve"> </w:t>
      </w:r>
    </w:p>
    <w:p w:rsidR="00991FC5" w:rsidRDefault="00991FC5" w:rsidP="00991FC5">
      <w:pPr>
        <w:rPr>
          <w:rFonts w:eastAsia="Calibri"/>
        </w:rPr>
      </w:pPr>
      <w:r>
        <w:rPr>
          <w:rFonts w:eastAsia="Calibri"/>
        </w:rPr>
        <w:t xml:space="preserve">The City of Santa Rosa’s 2007 Update to the Recycled Water Master Plan estimates that in 2020, total ADWF to the Laguna Plant will be approximately 25.89 </w:t>
      </w:r>
      <w:proofErr w:type="spellStart"/>
      <w:r>
        <w:rPr>
          <w:rFonts w:eastAsia="Calibri"/>
        </w:rPr>
        <w:t>mgd</w:t>
      </w:r>
      <w:proofErr w:type="spellEnd"/>
      <w:r>
        <w:rPr>
          <w:rFonts w:eastAsia="Calibri"/>
        </w:rPr>
        <w:t xml:space="preserve">, which exceeds the current NPDES permit capacity of the plant.  While the City of Cotati is projected to contribute approximately </w:t>
      </w:r>
      <w:r w:rsidRPr="00686C4F">
        <w:rPr>
          <w:rFonts w:eastAsia="Calibri"/>
        </w:rPr>
        <w:t>3.2%</w:t>
      </w:r>
      <w:r>
        <w:rPr>
          <w:rFonts w:eastAsia="Calibri"/>
        </w:rPr>
        <w:t xml:space="preserve"> of the wastewater treated at the Laguna Plant, </w:t>
      </w:r>
      <w:proofErr w:type="gramStart"/>
      <w:r>
        <w:rPr>
          <w:rFonts w:eastAsia="Calibri"/>
        </w:rPr>
        <w:t>under</w:t>
      </w:r>
      <w:proofErr w:type="gramEnd"/>
      <w:r>
        <w:rPr>
          <w:rFonts w:eastAsia="Calibri"/>
        </w:rPr>
        <w:t xml:space="preserve"> 2035 buildout </w:t>
      </w:r>
      <w:r>
        <w:rPr>
          <w:rFonts w:eastAsia="Calibri"/>
        </w:rPr>
        <w:lastRenderedPageBreak/>
        <w:t xml:space="preserve">conditions, the existing permitted capacity of the Plant would be exceeded if all other partners contribute their projected flows.    </w:t>
      </w:r>
    </w:p>
    <w:p w:rsidR="005D7E08" w:rsidRDefault="00591F37">
      <w:pPr>
        <w:rPr>
          <w:rFonts w:eastAsia="Calibri"/>
        </w:rPr>
      </w:pPr>
      <w:r w:rsidRPr="00591F37">
        <w:rPr>
          <w:rFonts w:eastAsia="Calibri"/>
        </w:rPr>
        <w:t xml:space="preserve">Annual wet weather flow projections are </w:t>
      </w:r>
      <w:r w:rsidR="00991FC5">
        <w:rPr>
          <w:rFonts w:eastAsia="Calibri"/>
        </w:rPr>
        <w:t>used</w:t>
      </w:r>
      <w:r w:rsidRPr="00591F37">
        <w:rPr>
          <w:rFonts w:eastAsia="Calibri"/>
        </w:rPr>
        <w:t xml:space="preserve"> to determine how to manage total system</w:t>
      </w:r>
      <w:r w:rsidR="00991FC5">
        <w:rPr>
          <w:rFonts w:eastAsia="Calibri"/>
        </w:rPr>
        <w:t xml:space="preserve"> </w:t>
      </w:r>
      <w:r w:rsidRPr="00591F37">
        <w:rPr>
          <w:rFonts w:eastAsia="Calibri"/>
        </w:rPr>
        <w:t>inflows and outflows throughout each year. Wet weather inflow to the plant is sensitive to</w:t>
      </w:r>
      <w:r w:rsidR="00991FC5">
        <w:rPr>
          <w:rFonts w:eastAsia="Calibri"/>
        </w:rPr>
        <w:t xml:space="preserve"> </w:t>
      </w:r>
      <w:r w:rsidRPr="00591F37">
        <w:rPr>
          <w:rFonts w:eastAsia="Calibri"/>
        </w:rPr>
        <w:t>hydrologic conditions, including rainfall events, Russian River flows, and groundwater</w:t>
      </w:r>
      <w:r w:rsidR="00991FC5">
        <w:rPr>
          <w:rFonts w:eastAsia="Calibri"/>
        </w:rPr>
        <w:t xml:space="preserve"> </w:t>
      </w:r>
      <w:r w:rsidRPr="00591F37">
        <w:rPr>
          <w:rFonts w:eastAsia="Calibri"/>
        </w:rPr>
        <w:t>levels. Among these factors, Laguna Plant wet weather inflow correlates most consistently</w:t>
      </w:r>
      <w:r w:rsidR="00991FC5">
        <w:rPr>
          <w:rFonts w:eastAsia="Calibri"/>
        </w:rPr>
        <w:t xml:space="preserve"> </w:t>
      </w:r>
      <w:r w:rsidRPr="00591F37">
        <w:rPr>
          <w:rFonts w:eastAsia="Calibri"/>
        </w:rPr>
        <w:t>with Russian River flow.</w:t>
      </w:r>
    </w:p>
    <w:p w:rsidR="00991FC5" w:rsidRDefault="00591F37" w:rsidP="00991FC5">
      <w:pPr>
        <w:rPr>
          <w:rFonts w:eastAsia="Calibri"/>
        </w:rPr>
      </w:pPr>
      <w:r w:rsidRPr="00591F37">
        <w:rPr>
          <w:rFonts w:eastAsia="Calibri"/>
        </w:rPr>
        <w:t>A water balance model was developed to simulate Laguna Plant daily inflow and daily outflows</w:t>
      </w:r>
      <w:r w:rsidR="00991FC5">
        <w:rPr>
          <w:rFonts w:eastAsia="Calibri"/>
        </w:rPr>
        <w:t xml:space="preserve"> </w:t>
      </w:r>
      <w:r w:rsidRPr="00591F37">
        <w:rPr>
          <w:rFonts w:eastAsia="Calibri"/>
        </w:rPr>
        <w:t>to storage, reuse, and discharge. The model uses 67 years of Russian River flow data</w:t>
      </w:r>
      <w:r w:rsidR="00991FC5">
        <w:rPr>
          <w:rFonts w:eastAsia="Calibri"/>
        </w:rPr>
        <w:t xml:space="preserve"> </w:t>
      </w:r>
      <w:r w:rsidRPr="00591F37">
        <w:rPr>
          <w:rFonts w:eastAsia="Calibri"/>
        </w:rPr>
        <w:t>in an algorithm to project future flows. The model yielded a peak wet weather daily inflow</w:t>
      </w:r>
      <w:r w:rsidR="00991FC5">
        <w:rPr>
          <w:rFonts w:eastAsia="Calibri"/>
        </w:rPr>
        <w:t xml:space="preserve"> </w:t>
      </w:r>
      <w:r w:rsidRPr="00591F37">
        <w:rPr>
          <w:rFonts w:eastAsia="Calibri"/>
        </w:rPr>
        <w:t xml:space="preserve">to the Laguna Plant of 101 </w:t>
      </w:r>
      <w:proofErr w:type="spellStart"/>
      <w:r w:rsidRPr="00591F37">
        <w:rPr>
          <w:rFonts w:eastAsia="Calibri"/>
        </w:rPr>
        <w:t>mgd</w:t>
      </w:r>
      <w:proofErr w:type="spellEnd"/>
      <w:r w:rsidRPr="00591F37">
        <w:rPr>
          <w:rFonts w:eastAsia="Calibri"/>
        </w:rPr>
        <w:t xml:space="preserve">, corresponding to an ADWF of 25.9 </w:t>
      </w:r>
      <w:proofErr w:type="spellStart"/>
      <w:r w:rsidRPr="00591F37">
        <w:rPr>
          <w:rFonts w:eastAsia="Calibri"/>
        </w:rPr>
        <w:t>mgd</w:t>
      </w:r>
      <w:proofErr w:type="spellEnd"/>
      <w:r w:rsidRPr="00591F37">
        <w:rPr>
          <w:rFonts w:eastAsia="Calibri"/>
        </w:rPr>
        <w:t>. This represents</w:t>
      </w:r>
      <w:r w:rsidR="00991FC5">
        <w:rPr>
          <w:rFonts w:eastAsia="Calibri"/>
        </w:rPr>
        <w:t xml:space="preserve"> </w:t>
      </w:r>
      <w:r w:rsidRPr="00591F37">
        <w:rPr>
          <w:rFonts w:eastAsia="Calibri"/>
        </w:rPr>
        <w:t>the highest daily plant inflow based on 67 years of record. The water balance model was</w:t>
      </w:r>
      <w:r w:rsidR="00991FC5">
        <w:rPr>
          <w:rFonts w:eastAsia="Calibri"/>
        </w:rPr>
        <w:t xml:space="preserve"> </w:t>
      </w:r>
      <w:r w:rsidRPr="00591F37">
        <w:rPr>
          <w:rFonts w:eastAsia="Calibri"/>
        </w:rPr>
        <w:t>further used to simulate the amount of water in storage, being discharged, or reused at any</w:t>
      </w:r>
      <w:r w:rsidR="00991FC5">
        <w:rPr>
          <w:rFonts w:eastAsia="Calibri"/>
        </w:rPr>
        <w:t xml:space="preserve"> </w:t>
      </w:r>
      <w:r w:rsidRPr="00591F37">
        <w:rPr>
          <w:rFonts w:eastAsia="Calibri"/>
        </w:rPr>
        <w:t>time of year for future programs.</w:t>
      </w:r>
    </w:p>
    <w:p w:rsidR="00991FC5" w:rsidRDefault="00991FC5" w:rsidP="00991FC5">
      <w:pPr>
        <w:rPr>
          <w:bCs/>
          <w:szCs w:val="24"/>
        </w:rPr>
      </w:pPr>
      <w:r>
        <w:rPr>
          <w:rFonts w:eastAsia="Calibri"/>
        </w:rPr>
        <w:t xml:space="preserve">General Plan Policy CSF 2.16 requires the City to </w:t>
      </w:r>
      <w:r>
        <w:rPr>
          <w:bCs/>
        </w:rPr>
        <w:t>w</w:t>
      </w:r>
      <w:r w:rsidRPr="00571E46">
        <w:rPr>
          <w:bCs/>
        </w:rPr>
        <w:t xml:space="preserve">ork with the Santa Rosa </w:t>
      </w:r>
      <w:proofErr w:type="spellStart"/>
      <w:r w:rsidRPr="00571E46">
        <w:rPr>
          <w:bCs/>
        </w:rPr>
        <w:t>Subregional</w:t>
      </w:r>
      <w:proofErr w:type="spellEnd"/>
      <w:r w:rsidRPr="00571E46">
        <w:rPr>
          <w:bCs/>
        </w:rPr>
        <w:t xml:space="preserve"> Wastewater System and neighboring cities to assist in the maintenance of an adequate sewage treatment and disposal system for the region.</w:t>
      </w:r>
      <w:r>
        <w:rPr>
          <w:bCs/>
        </w:rPr>
        <w:t xml:space="preserve">  Action CSF 2l requires that </w:t>
      </w:r>
      <w:r>
        <w:rPr>
          <w:bCs/>
          <w:szCs w:val="24"/>
        </w:rPr>
        <w:t>u</w:t>
      </w:r>
      <w:r w:rsidRPr="00B901A3">
        <w:rPr>
          <w:bCs/>
          <w:szCs w:val="24"/>
        </w:rPr>
        <w:t xml:space="preserve">pon adoption of the General Plan, </w:t>
      </w:r>
      <w:r>
        <w:rPr>
          <w:bCs/>
          <w:szCs w:val="24"/>
        </w:rPr>
        <w:t xml:space="preserve">the City shall </w:t>
      </w:r>
      <w:r w:rsidRPr="00B901A3">
        <w:rPr>
          <w:bCs/>
          <w:szCs w:val="24"/>
        </w:rPr>
        <w:t xml:space="preserve">apply to the </w:t>
      </w:r>
      <w:proofErr w:type="spellStart"/>
      <w:r w:rsidRPr="00B901A3">
        <w:rPr>
          <w:bCs/>
          <w:szCs w:val="24"/>
        </w:rPr>
        <w:t>subregional</w:t>
      </w:r>
      <w:proofErr w:type="spellEnd"/>
      <w:r w:rsidRPr="00B901A3">
        <w:rPr>
          <w:bCs/>
          <w:szCs w:val="24"/>
        </w:rPr>
        <w:t xml:space="preserve"> partners for an incremental increase in its wastewater flow allocation to meet projected demand though 2035</w:t>
      </w:r>
      <w:r>
        <w:rPr>
          <w:bCs/>
          <w:szCs w:val="24"/>
        </w:rPr>
        <w:t>.  And Action CSF 2m requires the City to c</w:t>
      </w:r>
      <w:r w:rsidRPr="00B901A3">
        <w:rPr>
          <w:bCs/>
          <w:szCs w:val="24"/>
        </w:rPr>
        <w:t>oordinate with the Laguna Wastewater Treatment Plant to increase the National Pollutant Discharge Elimination System (NPDES) permit capacity of the plant to meet projected 2035 demand for all sources of wastewater treated at the plant.</w:t>
      </w:r>
    </w:p>
    <w:p w:rsidR="00991FC5" w:rsidRDefault="00991FC5" w:rsidP="00991FC5">
      <w:pPr>
        <w:rPr>
          <w:bCs/>
          <w:szCs w:val="24"/>
        </w:rPr>
      </w:pPr>
      <w:r>
        <w:rPr>
          <w:bCs/>
          <w:szCs w:val="24"/>
        </w:rPr>
        <w:t xml:space="preserve">The following General Plan policies and actions would assist in reducing wastewater generation flows in Cotati to the greatest extent feasible, and would ensure that new development is not approved until it can be demonstrated that adequate wastewater treatment capacity exists to serve new and existing development demands.  </w:t>
      </w:r>
    </w:p>
    <w:p w:rsidR="00991FC5" w:rsidRPr="007603B7" w:rsidRDefault="00991FC5" w:rsidP="00991FC5">
      <w:pPr>
        <w:pStyle w:val="Heading5"/>
        <w:spacing w:after="120"/>
        <w:rPr>
          <w:b/>
        </w:rPr>
      </w:pPr>
      <w:r w:rsidRPr="007603B7">
        <w:rPr>
          <w:b/>
        </w:rPr>
        <w:t>2013 General Plan Policies and Actions that Mitigate Potential Impacts</w:t>
      </w:r>
    </w:p>
    <w:p w:rsidR="00991FC5" w:rsidRPr="007603B7" w:rsidRDefault="00991FC5" w:rsidP="00991FC5">
      <w:pPr>
        <w:pStyle w:val="Action"/>
        <w:ind w:left="0"/>
        <w:rPr>
          <w:u w:val="single"/>
        </w:rPr>
      </w:pPr>
      <w:r w:rsidRPr="007603B7">
        <w:rPr>
          <w:u w:val="single"/>
        </w:rPr>
        <w:t>Policies</w:t>
      </w:r>
    </w:p>
    <w:p w:rsidR="00991FC5" w:rsidRPr="00A030CA" w:rsidRDefault="00991FC5" w:rsidP="00991FC5">
      <w:pPr>
        <w:pStyle w:val="Policy"/>
        <w:ind w:left="0"/>
        <w:rPr>
          <w:bCs w:val="0"/>
          <w:i/>
        </w:rPr>
      </w:pPr>
      <w:r w:rsidRPr="00A030CA">
        <w:rPr>
          <w:b/>
          <w:i/>
        </w:rPr>
        <w:t>Policy CSF 1.1:</w:t>
      </w:r>
      <w:r w:rsidRPr="00A030CA">
        <w:rPr>
          <w:bCs w:val="0"/>
          <w:i/>
        </w:rPr>
        <w:t xml:space="preserve"> Require all development projects to demonstrate, to the satisfaction of the City Engineer, that the City’s public services and utilities can accommodate the </w:t>
      </w:r>
      <w:r w:rsidRPr="00A030CA">
        <w:rPr>
          <w:i/>
        </w:rPr>
        <w:t>increased</w:t>
      </w:r>
      <w:r w:rsidRPr="00A030CA">
        <w:rPr>
          <w:bCs w:val="0"/>
          <w:i/>
        </w:rPr>
        <w:t xml:space="preserve"> demand for services associated with the project.</w:t>
      </w:r>
    </w:p>
    <w:p w:rsidR="00991FC5" w:rsidRPr="00A030CA" w:rsidRDefault="00991FC5" w:rsidP="00991FC5">
      <w:pPr>
        <w:pStyle w:val="Policy"/>
        <w:ind w:left="0"/>
        <w:rPr>
          <w:bCs w:val="0"/>
          <w:i/>
        </w:rPr>
      </w:pPr>
      <w:r w:rsidRPr="00A030CA">
        <w:rPr>
          <w:b/>
          <w:i/>
        </w:rPr>
        <w:t>Policy CSF 1.2:</w:t>
      </w:r>
      <w:r w:rsidRPr="00A030CA">
        <w:rPr>
          <w:bCs w:val="0"/>
          <w:i/>
        </w:rPr>
        <w:tab/>
        <w:t xml:space="preserve">Require new development to offset or mitigate impacts to public services and </w:t>
      </w:r>
      <w:r w:rsidRPr="00A030CA">
        <w:rPr>
          <w:i/>
        </w:rPr>
        <w:t>facilities</w:t>
      </w:r>
      <w:r w:rsidRPr="00A030CA">
        <w:rPr>
          <w:bCs w:val="0"/>
          <w:i/>
        </w:rPr>
        <w:t xml:space="preserve"> to ensure that service levels for existing users are not degraded or impaired by new development, to the satisfaction of the City Engineer.  </w:t>
      </w:r>
    </w:p>
    <w:p w:rsidR="00991FC5" w:rsidRPr="00A030CA" w:rsidRDefault="00991FC5" w:rsidP="00991FC5">
      <w:pPr>
        <w:pStyle w:val="Policy"/>
        <w:ind w:left="0"/>
        <w:rPr>
          <w:bCs w:val="0"/>
          <w:i/>
        </w:rPr>
      </w:pPr>
      <w:r w:rsidRPr="00A030CA">
        <w:rPr>
          <w:b/>
          <w:i/>
        </w:rPr>
        <w:t>Policy CSF 1.3:</w:t>
      </w:r>
      <w:r w:rsidRPr="00A030CA">
        <w:rPr>
          <w:bCs w:val="0"/>
          <w:i/>
        </w:rPr>
        <w:t xml:space="preserve"> Limit approvals of new development to areas where adequate infrastructure and services are available or will be provided by the development.   </w:t>
      </w:r>
    </w:p>
    <w:p w:rsidR="00991FC5" w:rsidRPr="00A030CA" w:rsidRDefault="00991FC5" w:rsidP="00991FC5">
      <w:pPr>
        <w:pStyle w:val="Policy"/>
        <w:ind w:left="0"/>
        <w:rPr>
          <w:bCs w:val="0"/>
          <w:i/>
        </w:rPr>
      </w:pPr>
      <w:r w:rsidRPr="00A030CA">
        <w:rPr>
          <w:b/>
          <w:i/>
        </w:rPr>
        <w:t>Policy CSF 1.4:</w:t>
      </w:r>
      <w:r w:rsidRPr="00A030CA">
        <w:rPr>
          <w:bCs w:val="0"/>
          <w:i/>
        </w:rPr>
        <w:t xml:space="preserve"> Maintain development fees at a sufficient level to finance infrastructure costs.</w:t>
      </w:r>
    </w:p>
    <w:p w:rsidR="00991FC5" w:rsidRPr="00A030CA" w:rsidRDefault="00991FC5" w:rsidP="00991FC5">
      <w:pPr>
        <w:pStyle w:val="Policy"/>
        <w:ind w:left="0"/>
        <w:rPr>
          <w:bCs w:val="0"/>
          <w:i/>
        </w:rPr>
      </w:pPr>
      <w:r w:rsidRPr="00A030CA">
        <w:rPr>
          <w:b/>
          <w:i/>
        </w:rPr>
        <w:lastRenderedPageBreak/>
        <w:t>Policy CSF 1.5:</w:t>
      </w:r>
      <w:r w:rsidRPr="00A030CA">
        <w:rPr>
          <w:bCs w:val="0"/>
          <w:i/>
        </w:rPr>
        <w:t xml:space="preserve"> As new areas are considered for annexation and development, priority for public services and facilities shall be given to existing development within the annexation area not currently served by City services.</w:t>
      </w:r>
    </w:p>
    <w:p w:rsidR="00991FC5" w:rsidRPr="00A030CA" w:rsidRDefault="00991FC5" w:rsidP="00991FC5">
      <w:pPr>
        <w:pStyle w:val="Policy"/>
        <w:ind w:left="0"/>
        <w:rPr>
          <w:bCs w:val="0"/>
          <w:i/>
        </w:rPr>
      </w:pPr>
      <w:r w:rsidRPr="00A030CA">
        <w:rPr>
          <w:b/>
          <w:i/>
        </w:rPr>
        <w:t>Policy CSF 1.6:</w:t>
      </w:r>
      <w:r w:rsidRPr="00A030CA">
        <w:rPr>
          <w:bCs w:val="0"/>
          <w:i/>
        </w:rPr>
        <w:tab/>
        <w:t xml:space="preserve">Require development, infrastructure, and long-term planning projects to be consistent with all applicable City plans and programs related to public services and facilities, including but not limited to the Water Master Plan, the Sanitary Sewer Master Plan and the Capital Improvement Plan.  New projects shall assist with the implementation of these plans through the provision of fair-share payments, construction of improvements, or other means identified as appropriate by the City Engineer.  </w:t>
      </w:r>
    </w:p>
    <w:p w:rsidR="00991FC5" w:rsidRPr="00A030CA" w:rsidRDefault="00991FC5" w:rsidP="00991FC5">
      <w:pPr>
        <w:pStyle w:val="Policy"/>
        <w:ind w:left="0"/>
        <w:rPr>
          <w:bCs w:val="0"/>
          <w:i/>
        </w:rPr>
      </w:pPr>
      <w:r w:rsidRPr="00A030CA">
        <w:rPr>
          <w:b/>
          <w:i/>
        </w:rPr>
        <w:t>Policy CSF 2.16:</w:t>
      </w:r>
      <w:r w:rsidRPr="00A030CA">
        <w:rPr>
          <w:bCs w:val="0"/>
          <w:i/>
        </w:rPr>
        <w:t xml:space="preserve"> Work with the Santa Rosa </w:t>
      </w:r>
      <w:proofErr w:type="spellStart"/>
      <w:r w:rsidRPr="00A030CA">
        <w:rPr>
          <w:bCs w:val="0"/>
          <w:i/>
        </w:rPr>
        <w:t>Subregional</w:t>
      </w:r>
      <w:proofErr w:type="spellEnd"/>
      <w:r w:rsidRPr="00A030CA">
        <w:rPr>
          <w:bCs w:val="0"/>
          <w:i/>
        </w:rPr>
        <w:t xml:space="preserve"> Wastewater System and neighboring cities to assist in the maintenance of an adequate sewage treatment and disposal system for the region.</w:t>
      </w:r>
    </w:p>
    <w:p w:rsidR="00991FC5" w:rsidRPr="00A030CA" w:rsidRDefault="00991FC5" w:rsidP="00991FC5">
      <w:pPr>
        <w:pStyle w:val="Policy"/>
        <w:ind w:left="0"/>
        <w:rPr>
          <w:bCs w:val="0"/>
          <w:i/>
        </w:rPr>
      </w:pPr>
      <w:r w:rsidRPr="00A030CA">
        <w:rPr>
          <w:b/>
          <w:i/>
        </w:rPr>
        <w:t>Policy CSF 2.17:</w:t>
      </w:r>
      <w:r w:rsidRPr="00A030CA">
        <w:rPr>
          <w:bCs w:val="0"/>
          <w:i/>
        </w:rPr>
        <w:t xml:space="preserve"> Ensure sewage system capacity is adequate to match the rate of development.  </w:t>
      </w:r>
    </w:p>
    <w:p w:rsidR="00991FC5" w:rsidRPr="00A030CA" w:rsidRDefault="00991FC5" w:rsidP="00991FC5">
      <w:pPr>
        <w:pStyle w:val="Policy"/>
        <w:ind w:left="0"/>
        <w:rPr>
          <w:bCs w:val="0"/>
          <w:i/>
        </w:rPr>
      </w:pPr>
      <w:r w:rsidRPr="00A030CA">
        <w:rPr>
          <w:b/>
          <w:i/>
        </w:rPr>
        <w:t>Policy CSF 2.18:</w:t>
      </w:r>
      <w:r w:rsidRPr="00A030CA">
        <w:rPr>
          <w:bCs w:val="0"/>
          <w:i/>
        </w:rPr>
        <w:tab/>
        <w:t xml:space="preserve">Maintain adequate sewage conveyance infrastructure to meet existing and projected demand throughout the life of the General Plan.  </w:t>
      </w:r>
    </w:p>
    <w:p w:rsidR="00991FC5" w:rsidRPr="00A030CA" w:rsidRDefault="00991FC5" w:rsidP="00991FC5">
      <w:pPr>
        <w:pStyle w:val="Policy"/>
        <w:ind w:left="0"/>
        <w:rPr>
          <w:bCs w:val="0"/>
          <w:i/>
        </w:rPr>
      </w:pPr>
      <w:r w:rsidRPr="00A030CA">
        <w:rPr>
          <w:b/>
          <w:i/>
        </w:rPr>
        <w:t>Policy CSF 2.19:</w:t>
      </w:r>
      <w:r w:rsidRPr="00A030CA">
        <w:rPr>
          <w:bCs w:val="0"/>
          <w:i/>
        </w:rPr>
        <w:t xml:space="preserve"> Maintain the sewage conveyance infrastructure to reduce the risks of ground and surface water contamination associated with accidental wastewater discharge and system leakage.  </w:t>
      </w:r>
    </w:p>
    <w:p w:rsidR="00991FC5" w:rsidRPr="00A030CA" w:rsidRDefault="00991FC5" w:rsidP="00991FC5">
      <w:pPr>
        <w:pStyle w:val="Policy"/>
        <w:ind w:left="0"/>
        <w:rPr>
          <w:bCs w:val="0"/>
          <w:i/>
        </w:rPr>
      </w:pPr>
      <w:r w:rsidRPr="00A030CA">
        <w:rPr>
          <w:b/>
          <w:i/>
        </w:rPr>
        <w:t>Policy CSF 2.20:</w:t>
      </w:r>
      <w:r w:rsidRPr="00A030CA">
        <w:rPr>
          <w:bCs w:val="0"/>
          <w:i/>
        </w:rPr>
        <w:tab/>
        <w:t xml:space="preserve"> Ensure adequate funding is available for needed improvements to the wastewater conveyance infrastructure to reduce </w:t>
      </w:r>
      <w:proofErr w:type="spellStart"/>
      <w:r w:rsidRPr="00A030CA">
        <w:rPr>
          <w:bCs w:val="0"/>
          <w:i/>
        </w:rPr>
        <w:t>stormwater</w:t>
      </w:r>
      <w:proofErr w:type="spellEnd"/>
      <w:r w:rsidRPr="00A030CA">
        <w:rPr>
          <w:bCs w:val="0"/>
          <w:i/>
        </w:rPr>
        <w:t xml:space="preserve"> infiltration to the greatest extent feasible.  </w:t>
      </w:r>
    </w:p>
    <w:p w:rsidR="00991FC5" w:rsidRPr="00A030CA" w:rsidRDefault="00991FC5" w:rsidP="00991FC5">
      <w:pPr>
        <w:pStyle w:val="Policy"/>
        <w:ind w:left="0"/>
        <w:rPr>
          <w:bCs w:val="0"/>
          <w:i/>
        </w:rPr>
      </w:pPr>
      <w:r w:rsidRPr="00A030CA">
        <w:rPr>
          <w:b/>
          <w:i/>
        </w:rPr>
        <w:t>Policy CSF 2.21:</w:t>
      </w:r>
      <w:r w:rsidRPr="00A030CA">
        <w:rPr>
          <w:bCs w:val="0"/>
          <w:i/>
        </w:rPr>
        <w:tab/>
        <w:t xml:space="preserve">  Comply with the current Statewide General Waste Discharge Requirements concerning the operation and maintenance of the City’s sanitary sewer collection system.  </w:t>
      </w:r>
    </w:p>
    <w:p w:rsidR="00991FC5" w:rsidRPr="00A030CA" w:rsidRDefault="00991FC5" w:rsidP="00991FC5">
      <w:pPr>
        <w:pStyle w:val="Policy"/>
        <w:ind w:left="0"/>
        <w:rPr>
          <w:bCs w:val="0"/>
          <w:i/>
        </w:rPr>
      </w:pPr>
      <w:r w:rsidRPr="00A030CA">
        <w:rPr>
          <w:b/>
          <w:i/>
        </w:rPr>
        <w:t>Policy CSF 2.22:</w:t>
      </w:r>
      <w:r w:rsidRPr="00A030CA">
        <w:rPr>
          <w:bCs w:val="0"/>
          <w:i/>
        </w:rPr>
        <w:tab/>
        <w:t xml:space="preserve">  </w:t>
      </w:r>
      <w:r w:rsidRPr="00A030CA">
        <w:rPr>
          <w:i/>
        </w:rPr>
        <w:t>Prior to the approval of development that would result in increased demand for municipal sewage conveyance and treatment, require projects to demonstrate that existing services are adequate to accommodate the increased demand or that improvements to the capacity of the system to meet increased demand will be made prior to project implementation.</w:t>
      </w:r>
    </w:p>
    <w:p w:rsidR="00991FC5" w:rsidRPr="00A030CA" w:rsidRDefault="00991FC5" w:rsidP="00991FC5">
      <w:pPr>
        <w:pStyle w:val="Policy"/>
        <w:ind w:left="0"/>
        <w:rPr>
          <w:bCs w:val="0"/>
          <w:i/>
        </w:rPr>
      </w:pPr>
      <w:r w:rsidRPr="00A030CA">
        <w:rPr>
          <w:b/>
          <w:i/>
        </w:rPr>
        <w:t xml:space="preserve">Policy CSF 2.23: </w:t>
      </w:r>
      <w:r w:rsidRPr="00A030CA">
        <w:rPr>
          <w:bCs w:val="0"/>
          <w:i/>
        </w:rPr>
        <w:t xml:space="preserve">  Periodically </w:t>
      </w:r>
      <w:r w:rsidRPr="00A030CA">
        <w:rPr>
          <w:i/>
        </w:rPr>
        <w:t>review</w:t>
      </w:r>
      <w:r w:rsidRPr="00A030CA">
        <w:rPr>
          <w:bCs w:val="0"/>
          <w:i/>
        </w:rPr>
        <w:t xml:space="preserve"> and update the Sewer Collection System Master Plan.</w:t>
      </w:r>
    </w:p>
    <w:p w:rsidR="00991FC5" w:rsidRPr="00A030CA" w:rsidRDefault="00991FC5" w:rsidP="00991FC5">
      <w:pPr>
        <w:pStyle w:val="Policy"/>
        <w:ind w:left="0"/>
        <w:rPr>
          <w:bCs w:val="0"/>
          <w:i/>
        </w:rPr>
      </w:pPr>
      <w:r w:rsidRPr="00A030CA">
        <w:rPr>
          <w:b/>
          <w:i/>
        </w:rPr>
        <w:t xml:space="preserve">Policy CSF 2.24: </w:t>
      </w:r>
      <w:r w:rsidRPr="00A030CA">
        <w:rPr>
          <w:bCs w:val="0"/>
          <w:i/>
        </w:rPr>
        <w:t xml:space="preserve">  Review new development for consistency with the Sewer Collection System Master Plan and require new development to pay fair-share payments towards implementation of system improvements identified in the Sewer Collection System Master Plan, as </w:t>
      </w:r>
      <w:r w:rsidRPr="00A030CA">
        <w:rPr>
          <w:i/>
        </w:rPr>
        <w:t>determined</w:t>
      </w:r>
      <w:r w:rsidRPr="00A030CA">
        <w:rPr>
          <w:bCs w:val="0"/>
          <w:i/>
        </w:rPr>
        <w:t xml:space="preserve"> by the City Engineer.  </w:t>
      </w:r>
    </w:p>
    <w:p w:rsidR="00991FC5" w:rsidRPr="00A030CA" w:rsidRDefault="00991FC5" w:rsidP="00991FC5">
      <w:pPr>
        <w:pStyle w:val="Policy"/>
        <w:ind w:left="0"/>
        <w:rPr>
          <w:i/>
        </w:rPr>
      </w:pPr>
      <w:r w:rsidRPr="00A030CA">
        <w:rPr>
          <w:b/>
          <w:i/>
        </w:rPr>
        <w:t xml:space="preserve">Policy CSF 2.25: </w:t>
      </w:r>
      <w:r w:rsidRPr="00A030CA">
        <w:rPr>
          <w:bCs w:val="0"/>
          <w:i/>
        </w:rPr>
        <w:t xml:space="preserve"> </w:t>
      </w:r>
      <w:r w:rsidRPr="00A030CA">
        <w:rPr>
          <w:i/>
        </w:rPr>
        <w:t>Prioritize sewer service improvements to areas within the City that pose a threat to public health and the environment as a result of deficiencies in existing sewer or septic systems.</w:t>
      </w:r>
    </w:p>
    <w:p w:rsidR="00991FC5" w:rsidRPr="00A030CA" w:rsidRDefault="00991FC5" w:rsidP="00991FC5">
      <w:pPr>
        <w:pStyle w:val="Policy"/>
        <w:ind w:left="0"/>
        <w:rPr>
          <w:i/>
        </w:rPr>
      </w:pPr>
      <w:r w:rsidRPr="00A030CA">
        <w:rPr>
          <w:b/>
          <w:i/>
        </w:rPr>
        <w:t>Policy CSF 2.26:</w:t>
      </w:r>
      <w:r w:rsidRPr="00A030CA">
        <w:rPr>
          <w:bCs w:val="0"/>
          <w:i/>
        </w:rPr>
        <w:tab/>
        <w:t xml:space="preserve">  </w:t>
      </w:r>
      <w:r w:rsidRPr="00A030CA">
        <w:rPr>
          <w:i/>
        </w:rPr>
        <w:t>Assist and facilitate the expansion of municipal sewer services to residential areas adjacent to the existing municipal service area that are currently served by septic systems, when such expansion does not create a new demand for growth.  Residential areas with development densities of more than one unit per two acres where existing septic systems are failing shall be given top priority for assistance.</w:t>
      </w:r>
    </w:p>
    <w:p w:rsidR="00991FC5" w:rsidRPr="00A030CA" w:rsidRDefault="00991FC5" w:rsidP="00991FC5">
      <w:pPr>
        <w:pStyle w:val="Policy"/>
        <w:ind w:left="0"/>
        <w:rPr>
          <w:i/>
        </w:rPr>
      </w:pPr>
      <w:r w:rsidRPr="00A030CA">
        <w:rPr>
          <w:b/>
          <w:i/>
        </w:rPr>
        <w:lastRenderedPageBreak/>
        <w:t>Policy CSF 2.27:</w:t>
      </w:r>
      <w:r w:rsidRPr="00A030CA">
        <w:rPr>
          <w:bCs w:val="0"/>
          <w:i/>
        </w:rPr>
        <w:tab/>
        <w:t xml:space="preserve"> </w:t>
      </w:r>
      <w:r w:rsidRPr="00A030CA">
        <w:rPr>
          <w:i/>
        </w:rPr>
        <w:t>Ensure future sewer and septic systems are designed to meet or exceed all applicable water quality standards and are located to protect waterways and groundwater resources.</w:t>
      </w:r>
    </w:p>
    <w:p w:rsidR="00991FC5" w:rsidRPr="007603B7" w:rsidRDefault="00991FC5" w:rsidP="00991FC5">
      <w:pPr>
        <w:pStyle w:val="Action"/>
        <w:ind w:left="0"/>
        <w:rPr>
          <w:u w:val="single"/>
        </w:rPr>
      </w:pPr>
      <w:r>
        <w:rPr>
          <w:u w:val="single"/>
        </w:rPr>
        <w:t>Actions</w:t>
      </w:r>
    </w:p>
    <w:p w:rsidR="00991FC5" w:rsidRPr="00B901A3" w:rsidRDefault="00991FC5" w:rsidP="00991FC5">
      <w:pPr>
        <w:pStyle w:val="Action"/>
        <w:ind w:left="0"/>
        <w:rPr>
          <w:bCs w:val="0"/>
        </w:rPr>
      </w:pPr>
      <w:r w:rsidRPr="00B901A3">
        <w:rPr>
          <w:u w:val="single"/>
        </w:rPr>
        <w:t>Action CSF 1a:</w:t>
      </w:r>
      <w:r w:rsidRPr="00B901A3">
        <w:rPr>
          <w:bCs w:val="0"/>
        </w:rPr>
        <w:t xml:space="preserve"> Periodically review and update the various Master Plans for the provision and/or extension of public services.  These plans can include the Water Master Plan, the Sanitary Sewer Master Plan, and the City’s Capital Improvement Plan.  Cost estimates for improvements identified within each respective plan will be used as a basis for establishing and periodically updating development fees.  As part of the next update for each of these plans, the update shall include a more streamlined process to facilitate smaller development projects.  This process may involve an equivalent dwelling unit (EDU)-type fee and accompanying study to determine EDU allocations. (Public Works Department, Planning Department, City Engineer)</w:t>
      </w:r>
    </w:p>
    <w:p w:rsidR="00991FC5" w:rsidRDefault="00991FC5" w:rsidP="00991FC5">
      <w:pPr>
        <w:pStyle w:val="Action"/>
        <w:ind w:left="0"/>
        <w:rPr>
          <w:bCs w:val="0"/>
        </w:rPr>
      </w:pPr>
      <w:r w:rsidRPr="00B901A3">
        <w:rPr>
          <w:u w:val="single"/>
        </w:rPr>
        <w:t>Action CSF 1b:</w:t>
      </w:r>
      <w:r w:rsidRPr="00B901A3">
        <w:rPr>
          <w:bCs w:val="0"/>
        </w:rPr>
        <w:t xml:space="preserve"> As part of the development review process, evaluate the degree of impact a development will have on the City's infrastructure.  The City Council shall ensure that appropriate impact fees and assessments are levied accordingly.</w:t>
      </w:r>
    </w:p>
    <w:p w:rsidR="00991FC5" w:rsidRPr="00B901A3" w:rsidRDefault="00991FC5" w:rsidP="00991FC5">
      <w:pPr>
        <w:pStyle w:val="Action"/>
        <w:ind w:left="0"/>
        <w:rPr>
          <w:bCs w:val="0"/>
        </w:rPr>
      </w:pPr>
      <w:r w:rsidRPr="00B901A3">
        <w:rPr>
          <w:u w:val="single"/>
        </w:rPr>
        <w:t>Action CSF 2h:</w:t>
      </w:r>
      <w:r w:rsidRPr="00B901A3">
        <w:rPr>
          <w:bCs w:val="0"/>
        </w:rPr>
        <w:t xml:space="preserve">  Coordinate Cotati's sewage system with other affected municipalities (Santa Rosa, Rohnert Park, Sebastopol, and Sonoma County) to bring about more efficient and effective solutions for the affected region.  </w:t>
      </w:r>
    </w:p>
    <w:p w:rsidR="00991FC5" w:rsidRPr="00B901A3" w:rsidRDefault="00991FC5" w:rsidP="00991FC5">
      <w:pPr>
        <w:pStyle w:val="Action"/>
        <w:ind w:left="0"/>
        <w:rPr>
          <w:bCs w:val="0"/>
        </w:rPr>
      </w:pPr>
      <w:r w:rsidRPr="00B901A3">
        <w:rPr>
          <w:u w:val="single"/>
        </w:rPr>
        <w:t>Action CSF 2i:</w:t>
      </w:r>
      <w:r w:rsidRPr="00B901A3">
        <w:rPr>
          <w:bCs w:val="0"/>
        </w:rPr>
        <w:t xml:space="preserve"> Develop a program to reduce sewer usage.  Continue to implement the low flow toilet retrofit program.</w:t>
      </w:r>
    </w:p>
    <w:p w:rsidR="00991FC5" w:rsidRPr="00B901A3" w:rsidRDefault="00991FC5" w:rsidP="00991FC5">
      <w:pPr>
        <w:pStyle w:val="Action"/>
        <w:ind w:left="0"/>
        <w:rPr>
          <w:bCs w:val="0"/>
        </w:rPr>
      </w:pPr>
      <w:r w:rsidRPr="00B901A3">
        <w:rPr>
          <w:u w:val="single"/>
        </w:rPr>
        <w:t>Action CSF 2j:</w:t>
      </w:r>
      <w:r w:rsidRPr="00B901A3">
        <w:rPr>
          <w:bCs w:val="0"/>
        </w:rPr>
        <w:t xml:space="preserve"> Continue to participate in the Santa Rosa </w:t>
      </w:r>
      <w:proofErr w:type="spellStart"/>
      <w:r w:rsidRPr="00B901A3">
        <w:rPr>
          <w:bCs w:val="0"/>
        </w:rPr>
        <w:t>Subregional</w:t>
      </w:r>
      <w:proofErr w:type="spellEnd"/>
      <w:r w:rsidRPr="00B901A3">
        <w:rPr>
          <w:bCs w:val="0"/>
        </w:rPr>
        <w:t xml:space="preserve"> Sewage System efforts to expand capacity and locate appropriate uses for the treated wastewater.</w:t>
      </w:r>
    </w:p>
    <w:p w:rsidR="00991FC5" w:rsidRPr="00B901A3" w:rsidRDefault="00991FC5" w:rsidP="00991FC5">
      <w:pPr>
        <w:pStyle w:val="Action"/>
        <w:ind w:left="0"/>
        <w:rPr>
          <w:bCs w:val="0"/>
        </w:rPr>
      </w:pPr>
      <w:r w:rsidRPr="00B901A3">
        <w:rPr>
          <w:u w:val="single"/>
        </w:rPr>
        <w:t>Action CSF 2k:</w:t>
      </w:r>
      <w:r w:rsidRPr="00B901A3">
        <w:rPr>
          <w:bCs w:val="0"/>
        </w:rPr>
        <w:t xml:space="preserve"> The Planning Department and City Engineer shall monitor sewer capacity.  The remaining sewer capacity shall be offered to serve the existing homes in newly annexed areas prior to the issuance of any new building permits.</w:t>
      </w:r>
    </w:p>
    <w:p w:rsidR="00991FC5" w:rsidRPr="00B901A3" w:rsidRDefault="00991FC5" w:rsidP="00991FC5">
      <w:pPr>
        <w:pStyle w:val="Action"/>
        <w:ind w:left="0"/>
        <w:rPr>
          <w:bCs w:val="0"/>
        </w:rPr>
      </w:pPr>
      <w:r w:rsidRPr="00B901A3">
        <w:rPr>
          <w:u w:val="single"/>
        </w:rPr>
        <w:t>Action CSF 2l:</w:t>
      </w:r>
      <w:r w:rsidRPr="00B901A3">
        <w:rPr>
          <w:bCs w:val="0"/>
        </w:rPr>
        <w:tab/>
      </w:r>
      <w:r>
        <w:rPr>
          <w:bCs w:val="0"/>
        </w:rPr>
        <w:t>Continue to monitor wastewater flow generation rates within the City’s service area and</w:t>
      </w:r>
      <w:r w:rsidRPr="00B901A3">
        <w:rPr>
          <w:bCs w:val="0"/>
        </w:rPr>
        <w:t xml:space="preserve"> apply to the </w:t>
      </w:r>
      <w:proofErr w:type="spellStart"/>
      <w:r w:rsidRPr="00B901A3">
        <w:rPr>
          <w:bCs w:val="0"/>
        </w:rPr>
        <w:t>subregional</w:t>
      </w:r>
      <w:proofErr w:type="spellEnd"/>
      <w:r w:rsidRPr="00B901A3">
        <w:rPr>
          <w:bCs w:val="0"/>
        </w:rPr>
        <w:t xml:space="preserve"> partners for an incremental increase in wastewater flow allocation to meet projected demand </w:t>
      </w:r>
      <w:r>
        <w:rPr>
          <w:bCs w:val="0"/>
        </w:rPr>
        <w:t xml:space="preserve">prior to any exceedance of the City’s wastewater flow allocation under the </w:t>
      </w:r>
      <w:proofErr w:type="spellStart"/>
      <w:r>
        <w:rPr>
          <w:bCs w:val="0"/>
        </w:rPr>
        <w:t>Subregional</w:t>
      </w:r>
      <w:proofErr w:type="spellEnd"/>
      <w:r>
        <w:rPr>
          <w:bCs w:val="0"/>
        </w:rPr>
        <w:t xml:space="preserve"> Partnership</w:t>
      </w:r>
      <w:r w:rsidRPr="00B901A3">
        <w:rPr>
          <w:bCs w:val="0"/>
        </w:rPr>
        <w:t>.</w:t>
      </w:r>
    </w:p>
    <w:p w:rsidR="00991FC5" w:rsidRPr="00B901A3" w:rsidRDefault="00991FC5" w:rsidP="00991FC5">
      <w:pPr>
        <w:pStyle w:val="Action"/>
        <w:ind w:left="0"/>
        <w:rPr>
          <w:bCs w:val="0"/>
        </w:rPr>
      </w:pPr>
      <w:r w:rsidRPr="00B901A3">
        <w:rPr>
          <w:u w:val="single"/>
        </w:rPr>
        <w:t>Action CSF 2m:</w:t>
      </w:r>
      <w:r w:rsidRPr="00B901A3">
        <w:rPr>
          <w:bCs w:val="0"/>
        </w:rPr>
        <w:tab/>
        <w:t xml:space="preserve">Coordinate with the Laguna Wastewater Treatment Plant to increase the National Pollutant Discharge Elimination System (NPDES) permit capacity of the plant to meet projected 2035 demand for all sources of wastewater treated at the plant.  </w:t>
      </w:r>
    </w:p>
    <w:p w:rsidR="00991FC5" w:rsidRPr="00B901A3" w:rsidRDefault="00991FC5" w:rsidP="00991FC5">
      <w:pPr>
        <w:pStyle w:val="Action"/>
        <w:ind w:left="0"/>
        <w:rPr>
          <w:bCs w:val="0"/>
        </w:rPr>
      </w:pPr>
      <w:r w:rsidRPr="00B901A3">
        <w:rPr>
          <w:u w:val="single"/>
        </w:rPr>
        <w:t>Action CSF 2n:</w:t>
      </w:r>
      <w:r w:rsidRPr="00B901A3">
        <w:rPr>
          <w:bCs w:val="0"/>
        </w:rPr>
        <w:tab/>
        <w:t>Perform regular cleaning and inspection to help eliminate sanitary sewer overflows.</w:t>
      </w:r>
    </w:p>
    <w:p w:rsidR="00991FC5" w:rsidRDefault="00991FC5" w:rsidP="00991FC5">
      <w:pPr>
        <w:rPr>
          <w:bCs/>
          <w:szCs w:val="24"/>
        </w:rPr>
      </w:pPr>
      <w:r>
        <w:rPr>
          <w:bCs/>
          <w:szCs w:val="24"/>
        </w:rPr>
        <w:t xml:space="preserve">Implementation of the policies and actions identified above would assist in ensuring that adequate treatment plant capacity and permitted capacity is available to meet 2035 buildout conditions, including wastewater demands generated by the City of Cotati and the rest of the Regional Partners.  However, at the time of preparation of this EIR, an increase in permitted capacity cannot </w:t>
      </w:r>
      <w:r>
        <w:rPr>
          <w:bCs/>
          <w:szCs w:val="24"/>
        </w:rPr>
        <w:lastRenderedPageBreak/>
        <w:t xml:space="preserve">be guaranteed.  As such, this impact is considered </w:t>
      </w:r>
      <w:r w:rsidRPr="00A652A0">
        <w:rPr>
          <w:b/>
          <w:bCs/>
          <w:szCs w:val="24"/>
        </w:rPr>
        <w:t>cumulatively considerable and significant and unavoidable.</w:t>
      </w:r>
      <w:r>
        <w:rPr>
          <w:bCs/>
          <w:szCs w:val="24"/>
        </w:rPr>
        <w:t xml:space="preserve">  </w:t>
      </w:r>
    </w:p>
    <w:p w:rsidR="00991FC5" w:rsidRDefault="00991FC5" w:rsidP="00991FC5">
      <w:pPr>
        <w:rPr>
          <w:bCs/>
          <w:szCs w:val="24"/>
        </w:rPr>
      </w:pPr>
      <w:r>
        <w:rPr>
          <w:bCs/>
          <w:szCs w:val="24"/>
        </w:rPr>
        <w:t xml:space="preserve">2013 Cotati General Plan Policy CSF 2.16, and Actions 2l and 2m would reduce this impact to the greatest degree feasible, but not to a less than significant or less than cumulatively considerable level.  </w:t>
      </w:r>
    </w:p>
    <w:p w:rsidR="00991FC5" w:rsidRPr="00CC5901" w:rsidRDefault="00991FC5" w:rsidP="00991FC5">
      <w:pPr>
        <w:pStyle w:val="Heading4"/>
      </w:pPr>
      <w:r w:rsidRPr="00CC5901">
        <w:t>Impact 3.13-4: Require or result in the construction of new wastewater treatment facilities or expansion of existing facilities, the construction of which could cause significant environmental effects (Less than Significant)</w:t>
      </w:r>
    </w:p>
    <w:p w:rsidR="00991FC5" w:rsidRPr="00A030CA" w:rsidRDefault="00991FC5" w:rsidP="00991FC5">
      <w:pPr>
        <w:rPr>
          <w:bCs/>
        </w:rPr>
      </w:pPr>
      <w:r w:rsidRPr="00A030CA">
        <w:rPr>
          <w:bCs/>
        </w:rPr>
        <w:t xml:space="preserve">Development under the 2013 General Plan would result in increased wastewater flows, resulting in the need for additional wastewater treatment facilities and conveyance infrastructure, as described above. </w:t>
      </w:r>
    </w:p>
    <w:p w:rsidR="00991FC5" w:rsidRPr="00A030CA" w:rsidRDefault="00991FC5" w:rsidP="00991FC5">
      <w:pPr>
        <w:rPr>
          <w:bCs/>
        </w:rPr>
      </w:pPr>
      <w:r w:rsidRPr="00A030CA">
        <w:rPr>
          <w:bCs/>
        </w:rPr>
        <w:t xml:space="preserve">The infrastructure and facilities necessary to serve new growth would involve development of some facilities on-site, some facilities off-site on appropriately designated land, and may also involve improvements to existing facilities and disturbance of existing rights-of-way. The specific impacts of providing new and expanded facilities cannot be determined at this time, as the 2013 General Plan does not propose development nor does it designate specific sites for new or expanded public facilities. </w:t>
      </w:r>
    </w:p>
    <w:p w:rsidR="00991FC5" w:rsidRPr="00A030CA" w:rsidRDefault="00991FC5" w:rsidP="00991FC5">
      <w:pPr>
        <w:rPr>
          <w:bCs/>
        </w:rPr>
      </w:pPr>
      <w:r w:rsidRPr="00A030CA">
        <w:rPr>
          <w:bCs/>
        </w:rPr>
        <w:t>Wastewater treatment and conveyance facilities would be evaluated at the project-level in association with subsequent development projects. However, the facilities would be primarily provided on sites with land use designations that allow such uses and the environmental impacts of constructing and operating the facilities would likely be similar to those associated with new development, redevelopment, and infrastructure projects under the 2013 General Plan, such as impacts associated with construction activities including air quality, drainage, and noise, and impacts associated with operation including traffic, noise, air quality, hazards, and land stability. These impacts would generally occur as described in the relevant chapters (Chapters 3.1 through 3.13, and 4.0) of this Draft EIR.  Other impacts that may occur include short-term direct visual impacts associated with construction activities; potential direct impacts on a variety of biological resources, including wetlands and riparian resources; loss of trees and other sensitive habitats; and loss or disturbance of special status plant and animal species.  Additionally, air quality emissions of particulate matter, greenhouse gases, oxides of nitrogen, and reactive organic gases may be generated. Where potentially significant or significant impacts are identified, this Draft EIR identifies mitigation measures in the relevant chapter of this Draft EIR to reduce the impact and discloses which impacts cannot be reduced to a less than significant impact.</w:t>
      </w:r>
    </w:p>
    <w:p w:rsidR="00991FC5" w:rsidRPr="00A030CA" w:rsidRDefault="00991FC5" w:rsidP="00991FC5">
      <w:pPr>
        <w:rPr>
          <w:bCs/>
        </w:rPr>
      </w:pPr>
      <w:r w:rsidRPr="00A030CA">
        <w:rPr>
          <w:bCs/>
        </w:rPr>
        <w:t xml:space="preserve">As future development and infrastructure projects are considered by the City, each project will be evaluated for conformance with the City’s General Plan, Land Use Code, and other applicable regulations. Subsequent development and infrastructure projects would also be analyzed for potential environmental impacts, consistent with the requirements of CEQA. </w:t>
      </w:r>
    </w:p>
    <w:p w:rsidR="00991FC5" w:rsidRPr="0075207A" w:rsidRDefault="00991FC5" w:rsidP="00991FC5">
      <w:pPr>
        <w:rPr>
          <w:bCs/>
          <w:highlight w:val="yellow"/>
        </w:rPr>
      </w:pPr>
      <w:r w:rsidRPr="00A030CA">
        <w:rPr>
          <w:bCs/>
        </w:rPr>
        <w:lastRenderedPageBreak/>
        <w:t xml:space="preserve">The 2013 General Plan includes policies and actions designed to ensure adequate wastewater treatment capacity is available to serve development, to minimize the potential adverse effects of wastewater treatment, and to ensure that development does not move forward until adequate wastewater capacity exists. Policy CSF 2.22 requires development that will result in increased wastewater demand to demonstrate adequate capacity or </w:t>
      </w:r>
      <w:proofErr w:type="gramStart"/>
      <w:r w:rsidRPr="00A030CA">
        <w:rPr>
          <w:bCs/>
        </w:rPr>
        <w:t>that improvements</w:t>
      </w:r>
      <w:proofErr w:type="gramEnd"/>
      <w:r w:rsidRPr="00A030CA">
        <w:rPr>
          <w:bCs/>
        </w:rPr>
        <w:t xml:space="preserve"> to provide adequate capacity will be made prior to project implementation. </w:t>
      </w:r>
      <w:r w:rsidRPr="00702FF3">
        <w:rPr>
          <w:bCs/>
        </w:rPr>
        <w:t xml:space="preserve">Policies CSF 2.20 and 2.24 provide assurances that adequate funding will be available, through the payment of fair-share development infrastructure fees, to provide necessary improvements and ensure coordination with wastewater treatment providers to plan for necessary improvements to accommodate growth. </w:t>
      </w:r>
      <w:r>
        <w:rPr>
          <w:bCs/>
        </w:rPr>
        <w:t xml:space="preserve">This is a </w:t>
      </w:r>
      <w:r w:rsidRPr="00702FF3">
        <w:rPr>
          <w:b/>
          <w:bCs/>
        </w:rPr>
        <w:t>less than significant</w:t>
      </w:r>
      <w:r>
        <w:rPr>
          <w:bCs/>
        </w:rPr>
        <w:t xml:space="preserve"> impact.  </w:t>
      </w:r>
    </w:p>
    <w:p w:rsidR="00991FC5" w:rsidRPr="0075207A" w:rsidRDefault="00991FC5" w:rsidP="00991FC5">
      <w:pPr>
        <w:pStyle w:val="Heading2"/>
        <w:rPr>
          <w:highlight w:val="yellow"/>
        </w:rPr>
      </w:pPr>
      <w:r w:rsidRPr="000F0A54">
        <w:t xml:space="preserve">3.13.3 Solid Waste </w:t>
      </w:r>
    </w:p>
    <w:p w:rsidR="00991FC5" w:rsidRPr="00C03924" w:rsidRDefault="00991FC5" w:rsidP="00991FC5">
      <w:pPr>
        <w:rPr>
          <w:rFonts w:ascii="CenturyGothic" w:eastAsia="Calibri" w:hAnsi="CenturyGothic" w:cs="CenturyGothic"/>
          <w:sz w:val="20"/>
          <w:szCs w:val="20"/>
        </w:rPr>
      </w:pPr>
      <w:r w:rsidRPr="00C03924">
        <w:rPr>
          <w:rFonts w:eastAsia="Calibri"/>
        </w:rPr>
        <w:t>The City of Cotati is a member of the Sonoma County Waste Management Agency (SCWMA), a joint powers authority for the nine cities and County of Sonoma</w:t>
      </w:r>
      <w:r>
        <w:rPr>
          <w:rFonts w:eastAsia="Calibri"/>
        </w:rPr>
        <w:t>, which was formed in 1992 and has a current sunset of 2017</w:t>
      </w:r>
      <w:r w:rsidRPr="00C03924">
        <w:rPr>
          <w:rFonts w:eastAsia="Calibri"/>
        </w:rPr>
        <w:t>.</w:t>
      </w:r>
      <w:r w:rsidRPr="00C03924">
        <w:rPr>
          <w:rFonts w:eastAsia="Calibri"/>
          <w:sz w:val="13"/>
          <w:szCs w:val="13"/>
        </w:rPr>
        <w:t xml:space="preserve">  </w:t>
      </w:r>
      <w:r w:rsidRPr="00C03924">
        <w:rPr>
          <w:rFonts w:eastAsia="Calibri"/>
        </w:rPr>
        <w:t>Solid waste</w:t>
      </w:r>
      <w:r>
        <w:rPr>
          <w:rFonts w:eastAsia="Calibri"/>
        </w:rPr>
        <w:t>, recycling, and compost</w:t>
      </w:r>
      <w:r w:rsidRPr="00C03924">
        <w:rPr>
          <w:rFonts w:eastAsia="Calibri"/>
        </w:rPr>
        <w:t xml:space="preserve"> pickup within Cotati is currently provided by </w:t>
      </w:r>
      <w:r w:rsidRPr="004D374F">
        <w:rPr>
          <w:rFonts w:eastAsia="Calibri"/>
        </w:rPr>
        <w:t>Redwood Empire Disposal</w:t>
      </w:r>
      <w:r>
        <w:rPr>
          <w:rFonts w:eastAsia="Calibri"/>
        </w:rPr>
        <w:t xml:space="preserve">.  </w:t>
      </w:r>
    </w:p>
    <w:p w:rsidR="00991FC5" w:rsidRPr="00C03924" w:rsidRDefault="00991FC5" w:rsidP="00991FC5">
      <w:pPr>
        <w:pStyle w:val="Heading3"/>
      </w:pPr>
      <w:r w:rsidRPr="00C03924">
        <w:t>Key Terms</w:t>
      </w:r>
    </w:p>
    <w:p w:rsidR="00991FC5" w:rsidRPr="00C03924" w:rsidRDefault="00991FC5" w:rsidP="00991FC5">
      <w:r w:rsidRPr="00C03924">
        <w:rPr>
          <w:b/>
        </w:rPr>
        <w:t>Transfer station:</w:t>
      </w:r>
      <w:r w:rsidRPr="00C03924">
        <w:t xml:space="preserve"> A facility for the temporary deposition of some wastes. Transfer stations are often used as places where local waste collection vehicles will deposit their waste cargo prior to loading into larger vehicles. These larger vehicles will transport the waste to the end point of disposal or treatment.</w:t>
      </w:r>
    </w:p>
    <w:p w:rsidR="00991FC5" w:rsidRPr="00C03924" w:rsidRDefault="00991FC5" w:rsidP="00991FC5">
      <w:r w:rsidRPr="00C03924">
        <w:rPr>
          <w:rStyle w:val="Strong"/>
        </w:rPr>
        <w:t>Class I landfill</w:t>
      </w:r>
      <w:r w:rsidRPr="00C03924">
        <w:t>: A landfill that accepts for disposal 20 tons or more of municipal solid waste daily (based on an annual average); or one that does not qualify as a Class II or Class III municipal solid waste landfill.</w:t>
      </w:r>
      <w:r>
        <w:t xml:space="preserve">  A Class I landfill is authorized to accept hazardous waste.  </w:t>
      </w:r>
    </w:p>
    <w:p w:rsidR="00991FC5" w:rsidRPr="00C03924" w:rsidRDefault="00991FC5" w:rsidP="00991FC5">
      <w:r w:rsidRPr="00C03924">
        <w:rPr>
          <w:rStyle w:val="Strong"/>
        </w:rPr>
        <w:t xml:space="preserve">Class II landfill: </w:t>
      </w:r>
      <w:r w:rsidRPr="00C03924">
        <w:t>A landfill that (1) accepts less than 20 tons daily of municipal solid waste (based on an annual average); (2) is located on a site where there is no evidence of groundwater pollution caused or contributed by the landfill; (3) is not connected by road to a Class I municipal solid waste landfill, or, if connected by road, is located more than 50 miles from a Class I municipal solid waste landfill; and (4) serves a community that experiences (for at least three months each year) an interruption in access to surface transportation, preventing access to a Class I landfill, or a community with no practicable waste management alternative.</w:t>
      </w:r>
      <w:r>
        <w:t xml:space="preserve"> A Class II landfill is not authorized to accept hazardous waste.</w:t>
      </w:r>
    </w:p>
    <w:p w:rsidR="00991FC5" w:rsidRPr="00C03924" w:rsidRDefault="00991FC5" w:rsidP="00991FC5">
      <w:r w:rsidRPr="00C03924">
        <w:rPr>
          <w:rStyle w:val="Strong"/>
        </w:rPr>
        <w:t xml:space="preserve">Class III landfill: </w:t>
      </w:r>
      <w:r w:rsidRPr="00C03924">
        <w:t>A landfill that is not connected by road to a Class I landfill or a landfill that is located at least 50 miles from a Class I landfill. Class III landfills can accept no more than an average of one ton daily of ash from incinerated municipal solid waste or less than five tons daily of municipal solid waste.</w:t>
      </w:r>
      <w:r>
        <w:t xml:space="preserve"> A Class III landfill is not authorized to accept hazardous waste.</w:t>
      </w:r>
    </w:p>
    <w:p w:rsidR="00991FC5" w:rsidRPr="00AC37C0" w:rsidRDefault="00991FC5" w:rsidP="00991FC5">
      <w:pPr>
        <w:pStyle w:val="Heading3"/>
      </w:pPr>
      <w:r w:rsidRPr="00AC37C0">
        <w:lastRenderedPageBreak/>
        <w:t>Solid Waste Generation</w:t>
      </w:r>
      <w:r>
        <w:t xml:space="preserve"> and Diversion</w:t>
      </w:r>
    </w:p>
    <w:p w:rsidR="00991FC5" w:rsidRDefault="00991FC5" w:rsidP="00991FC5">
      <w:proofErr w:type="spellStart"/>
      <w:r w:rsidRPr="00AC37C0">
        <w:t>CalRecycle</w:t>
      </w:r>
      <w:proofErr w:type="spellEnd"/>
      <w:r w:rsidRPr="00AC37C0">
        <w:t xml:space="preserve"> has established a per resident disposal target rate of 7.1 pounds per day (PPD) and a per employee disposal rate of 18.3 PPD for the SCWMA.  The SCWMA has met and exceeded these targets in recent years, achieving a disposal rate of 3.9 PPD per resident and 10.6 PPD per employee in 2010.  </w:t>
      </w:r>
      <w:r>
        <w:t xml:space="preserve"> </w:t>
      </w:r>
    </w:p>
    <w:p w:rsidR="00991FC5" w:rsidRDefault="00991FC5" w:rsidP="00991FC5">
      <w:pPr>
        <w:rPr>
          <w:rFonts w:eastAsia="Calibri"/>
        </w:rPr>
      </w:pPr>
      <w:r>
        <w:rPr>
          <w:rFonts w:eastAsia="Calibri"/>
        </w:rPr>
        <w:t>Through the requirements of AB 939</w:t>
      </w:r>
      <w:r w:rsidRPr="00DA51C4">
        <w:rPr>
          <w:rFonts w:eastAsia="Calibri"/>
        </w:rPr>
        <w:t>, the California Department of Resources Recycling and Recovery (</w:t>
      </w:r>
      <w:proofErr w:type="spellStart"/>
      <w:r w:rsidRPr="00DA51C4">
        <w:rPr>
          <w:rFonts w:eastAsia="Calibri"/>
        </w:rPr>
        <w:t>CalRecycle</w:t>
      </w:r>
      <w:proofErr w:type="spellEnd"/>
      <w:r w:rsidRPr="00DA51C4">
        <w:rPr>
          <w:rFonts w:eastAsia="Calibri"/>
        </w:rPr>
        <w:t xml:space="preserve">), requires the </w:t>
      </w:r>
      <w:r>
        <w:rPr>
          <w:rFonts w:eastAsia="Calibri"/>
        </w:rPr>
        <w:t>SCWMA</w:t>
      </w:r>
      <w:r w:rsidRPr="00DA51C4">
        <w:rPr>
          <w:rFonts w:eastAsia="Calibri"/>
        </w:rPr>
        <w:t xml:space="preserve">, on behalf of the cities and the County of Sonoma, to calculate its diversion rate. The diversion rate is the percentage of total waste that a jurisdiction diverted from disposal at </w:t>
      </w:r>
      <w:proofErr w:type="spellStart"/>
      <w:r w:rsidRPr="00DA51C4">
        <w:rPr>
          <w:rFonts w:eastAsia="Calibri"/>
        </w:rPr>
        <w:t>CalRecycle</w:t>
      </w:r>
      <w:proofErr w:type="spellEnd"/>
      <w:r w:rsidRPr="00DA51C4">
        <w:rPr>
          <w:rFonts w:eastAsia="Calibri"/>
        </w:rPr>
        <w:t xml:space="preserve">-permitted landfills and transformation facilities through reduction, reuse, recycling programs, and composting programs. Jurisdictions were required by law to achieve 50 percent diversion for the year 2000. </w:t>
      </w:r>
    </w:p>
    <w:p w:rsidR="00991FC5" w:rsidRPr="00DA51C4" w:rsidRDefault="00991FC5" w:rsidP="00991FC5">
      <w:pPr>
        <w:rPr>
          <w:rFonts w:eastAsia="Calibri"/>
        </w:rPr>
      </w:pPr>
      <w:r>
        <w:t>In 2011 an estimated 1,262,000 tons of waste material was generated.  Of this amount, approximately 322,000 tons were disposed of in a landfill, while the rest was diverted, recycled, composted, or otherwise reused.  In 2011 approximately 74% of the waste stream was diverted from landfilling.</w:t>
      </w:r>
    </w:p>
    <w:p w:rsidR="00066864" w:rsidRDefault="00991FC5" w:rsidP="00991FC5">
      <w:pPr>
        <w:rPr>
          <w:rFonts w:eastAsia="Calibri"/>
        </w:rPr>
      </w:pPr>
      <w:r w:rsidRPr="00DA51C4">
        <w:rPr>
          <w:rFonts w:eastAsia="Calibri"/>
        </w:rPr>
        <w:t xml:space="preserve">As of 2007, jurisdictions’ diversion rates were no longer calculated by </w:t>
      </w:r>
      <w:proofErr w:type="spellStart"/>
      <w:r w:rsidRPr="00DA51C4">
        <w:rPr>
          <w:rFonts w:eastAsia="Calibri"/>
        </w:rPr>
        <w:t>CalRecycle</w:t>
      </w:r>
      <w:proofErr w:type="spellEnd"/>
      <w:r w:rsidRPr="00DA51C4">
        <w:rPr>
          <w:rFonts w:eastAsia="Calibri"/>
        </w:rPr>
        <w:t xml:space="preserve"> to determine compliance with AB 939. Instead, a per capita disposal rate was used as a benchmark of program effectiveness.  The statutory change was instituted by SB 1016 (2008).</w:t>
      </w:r>
      <w:r>
        <w:rPr>
          <w:rFonts w:eastAsia="Calibri"/>
        </w:rPr>
        <w:t xml:space="preserve">  Sonoma County’s waste diversion rates from 2003 through 20011 are shown in Table 3.13-6.  As shown below, the County has seen a steady increase in the volume of waste diverted</w:t>
      </w:r>
      <w:r w:rsidR="00066864">
        <w:rPr>
          <w:rFonts w:eastAsia="Calibri"/>
        </w:rPr>
        <w:t>, as indicated by the decrease waste generated per person per day between 2007 and 2011</w:t>
      </w:r>
      <w:r>
        <w:rPr>
          <w:rFonts w:eastAsia="Calibri"/>
        </w:rPr>
        <w:t xml:space="preserve">.  </w:t>
      </w:r>
    </w:p>
    <w:p w:rsidR="00991FC5" w:rsidRDefault="00066864" w:rsidP="00991FC5">
      <w:pPr>
        <w:rPr>
          <w:rFonts w:eastAsia="Calibri"/>
        </w:rPr>
      </w:pPr>
      <w:r>
        <w:rPr>
          <w:rFonts w:eastAsia="Calibri"/>
        </w:rPr>
        <w:br w:type="page"/>
      </w:r>
    </w:p>
    <w:tbl>
      <w:tblPr>
        <w:tblW w:w="33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0"/>
        <w:gridCol w:w="3595"/>
      </w:tblGrid>
      <w:tr w:rsidR="00991FC5" w:rsidRPr="00780C79">
        <w:trPr>
          <w:jc w:val="center"/>
        </w:trPr>
        <w:tc>
          <w:tcPr>
            <w:tcW w:w="5000" w:type="pct"/>
            <w:gridSpan w:val="2"/>
            <w:shd w:val="clear" w:color="auto" w:fill="000000"/>
          </w:tcPr>
          <w:p w:rsidR="00991FC5" w:rsidRPr="00780C79" w:rsidRDefault="00991FC5" w:rsidP="00991FC5">
            <w:pPr>
              <w:spacing w:after="0"/>
              <w:jc w:val="center"/>
            </w:pPr>
            <w:r w:rsidRPr="000F0A54">
              <w:rPr>
                <w:rFonts w:ascii="Cambria" w:hAnsi="Cambria"/>
                <w:b/>
                <w:color w:val="FFFFFF"/>
                <w:sz w:val="20"/>
              </w:rPr>
              <w:t xml:space="preserve">Table </w:t>
            </w:r>
            <w:r>
              <w:rPr>
                <w:rFonts w:ascii="Cambria" w:hAnsi="Cambria"/>
                <w:b/>
                <w:color w:val="FFFFFF"/>
                <w:sz w:val="20"/>
              </w:rPr>
              <w:t>3.13-6:</w:t>
            </w:r>
            <w:r w:rsidRPr="000F0A54">
              <w:rPr>
                <w:rFonts w:ascii="Cambria" w:hAnsi="Cambria"/>
                <w:b/>
                <w:color w:val="FFFFFF"/>
                <w:sz w:val="20"/>
              </w:rPr>
              <w:t xml:space="preserve"> Sonoma County Waste Diversion Rate</w:t>
            </w:r>
          </w:p>
        </w:tc>
      </w:tr>
      <w:tr w:rsidR="00991FC5" w:rsidRPr="00780C79">
        <w:trPr>
          <w:trHeight w:val="288"/>
          <w:jc w:val="center"/>
        </w:trPr>
        <w:tc>
          <w:tcPr>
            <w:tcW w:w="2065" w:type="pct"/>
            <w:shd w:val="clear" w:color="auto" w:fill="D9D9D9"/>
            <w:vAlign w:val="center"/>
          </w:tcPr>
          <w:p w:rsidR="00991FC5" w:rsidRPr="00780C79" w:rsidRDefault="00991FC5">
            <w:pPr>
              <w:spacing w:after="0"/>
              <w:jc w:val="center"/>
              <w:rPr>
                <w:b/>
                <w:sz w:val="20"/>
              </w:rPr>
            </w:pPr>
            <w:r>
              <w:rPr>
                <w:b/>
                <w:sz w:val="20"/>
              </w:rPr>
              <w:t xml:space="preserve">Year </w:t>
            </w:r>
          </w:p>
        </w:tc>
        <w:tc>
          <w:tcPr>
            <w:tcW w:w="2935" w:type="pct"/>
            <w:shd w:val="clear" w:color="auto" w:fill="D9D9D9"/>
            <w:vAlign w:val="center"/>
          </w:tcPr>
          <w:p w:rsidR="00991FC5" w:rsidRPr="00780C79" w:rsidRDefault="00991FC5" w:rsidP="00991FC5">
            <w:pPr>
              <w:spacing w:after="0"/>
              <w:jc w:val="center"/>
              <w:rPr>
                <w:b/>
                <w:sz w:val="20"/>
              </w:rPr>
            </w:pPr>
            <w:r>
              <w:rPr>
                <w:b/>
                <w:sz w:val="20"/>
              </w:rPr>
              <w:t>Waste Diversion Rate</w:t>
            </w:r>
          </w:p>
        </w:tc>
      </w:tr>
      <w:tr w:rsidR="00991FC5" w:rsidRPr="00780C79">
        <w:trPr>
          <w:trHeight w:val="288"/>
          <w:jc w:val="center"/>
        </w:trPr>
        <w:tc>
          <w:tcPr>
            <w:tcW w:w="2065" w:type="pct"/>
            <w:vAlign w:val="center"/>
          </w:tcPr>
          <w:p w:rsidR="00991FC5" w:rsidRDefault="00991FC5" w:rsidP="00991FC5">
            <w:pPr>
              <w:spacing w:after="0"/>
              <w:jc w:val="center"/>
              <w:rPr>
                <w:sz w:val="20"/>
              </w:rPr>
            </w:pPr>
            <w:r>
              <w:rPr>
                <w:sz w:val="20"/>
              </w:rPr>
              <w:t>2011</w:t>
            </w:r>
          </w:p>
        </w:tc>
        <w:tc>
          <w:tcPr>
            <w:tcW w:w="2935" w:type="pct"/>
            <w:vAlign w:val="center"/>
          </w:tcPr>
          <w:p w:rsidR="00991FC5" w:rsidRDefault="00991FC5" w:rsidP="00991FC5">
            <w:pPr>
              <w:spacing w:after="0"/>
              <w:jc w:val="center"/>
              <w:rPr>
                <w:sz w:val="20"/>
              </w:rPr>
            </w:pPr>
            <w:r>
              <w:rPr>
                <w:sz w:val="20"/>
              </w:rPr>
              <w:t>3.5 lbs/person/day</w:t>
            </w:r>
            <w:r w:rsidRPr="0075688C">
              <w:rPr>
                <w:sz w:val="20"/>
                <w:vertAlign w:val="superscript"/>
              </w:rPr>
              <w:t>1</w:t>
            </w:r>
          </w:p>
        </w:tc>
      </w:tr>
      <w:tr w:rsidR="00991FC5" w:rsidRPr="00780C79">
        <w:trPr>
          <w:trHeight w:val="288"/>
          <w:jc w:val="center"/>
        </w:trPr>
        <w:tc>
          <w:tcPr>
            <w:tcW w:w="2065" w:type="pct"/>
            <w:vAlign w:val="center"/>
          </w:tcPr>
          <w:p w:rsidR="00991FC5" w:rsidRDefault="00991FC5" w:rsidP="00991FC5">
            <w:pPr>
              <w:spacing w:after="0"/>
              <w:jc w:val="center"/>
              <w:rPr>
                <w:sz w:val="20"/>
              </w:rPr>
            </w:pPr>
            <w:r>
              <w:rPr>
                <w:sz w:val="20"/>
              </w:rPr>
              <w:t>2010</w:t>
            </w:r>
          </w:p>
        </w:tc>
        <w:tc>
          <w:tcPr>
            <w:tcW w:w="2935" w:type="pct"/>
            <w:vAlign w:val="center"/>
          </w:tcPr>
          <w:p w:rsidR="00991FC5" w:rsidRDefault="00991FC5" w:rsidP="00991FC5">
            <w:pPr>
              <w:spacing w:after="0"/>
              <w:jc w:val="center"/>
              <w:rPr>
                <w:sz w:val="20"/>
              </w:rPr>
            </w:pPr>
            <w:r>
              <w:rPr>
                <w:sz w:val="20"/>
              </w:rPr>
              <w:t>4.1 lbs/person/day</w:t>
            </w:r>
            <w:r w:rsidRPr="0075688C">
              <w:rPr>
                <w:sz w:val="20"/>
                <w:vertAlign w:val="superscript"/>
              </w:rPr>
              <w:t>1</w:t>
            </w:r>
          </w:p>
        </w:tc>
      </w:tr>
      <w:tr w:rsidR="00991FC5" w:rsidRPr="00780C79">
        <w:trPr>
          <w:trHeight w:val="288"/>
          <w:jc w:val="center"/>
        </w:trPr>
        <w:tc>
          <w:tcPr>
            <w:tcW w:w="2065" w:type="pct"/>
            <w:vAlign w:val="center"/>
          </w:tcPr>
          <w:p w:rsidR="00991FC5" w:rsidRDefault="00991FC5" w:rsidP="00991FC5">
            <w:pPr>
              <w:spacing w:after="0"/>
              <w:jc w:val="center"/>
              <w:rPr>
                <w:sz w:val="20"/>
              </w:rPr>
            </w:pPr>
            <w:r>
              <w:rPr>
                <w:sz w:val="20"/>
              </w:rPr>
              <w:t>2009</w:t>
            </w:r>
          </w:p>
        </w:tc>
        <w:tc>
          <w:tcPr>
            <w:tcW w:w="2935" w:type="pct"/>
            <w:vAlign w:val="center"/>
          </w:tcPr>
          <w:p w:rsidR="00991FC5" w:rsidRDefault="00991FC5" w:rsidP="00991FC5">
            <w:pPr>
              <w:spacing w:after="0"/>
              <w:jc w:val="center"/>
              <w:rPr>
                <w:sz w:val="20"/>
              </w:rPr>
            </w:pPr>
            <w:r>
              <w:rPr>
                <w:sz w:val="20"/>
              </w:rPr>
              <w:t>3.9 lbs/person/day</w:t>
            </w:r>
            <w:r w:rsidRPr="0075688C">
              <w:rPr>
                <w:sz w:val="20"/>
                <w:vertAlign w:val="superscript"/>
              </w:rPr>
              <w:t>1</w:t>
            </w:r>
          </w:p>
        </w:tc>
      </w:tr>
      <w:tr w:rsidR="00991FC5" w:rsidRPr="00780C79">
        <w:trPr>
          <w:trHeight w:val="288"/>
          <w:jc w:val="center"/>
        </w:trPr>
        <w:tc>
          <w:tcPr>
            <w:tcW w:w="2065" w:type="pct"/>
            <w:vAlign w:val="center"/>
          </w:tcPr>
          <w:p w:rsidR="00991FC5" w:rsidRPr="00780C79" w:rsidRDefault="00991FC5" w:rsidP="00991FC5">
            <w:pPr>
              <w:spacing w:after="0"/>
              <w:jc w:val="center"/>
              <w:rPr>
                <w:sz w:val="20"/>
              </w:rPr>
            </w:pPr>
            <w:r>
              <w:rPr>
                <w:sz w:val="20"/>
              </w:rPr>
              <w:t>2008</w:t>
            </w:r>
          </w:p>
        </w:tc>
        <w:tc>
          <w:tcPr>
            <w:tcW w:w="2935" w:type="pct"/>
            <w:vAlign w:val="center"/>
          </w:tcPr>
          <w:p w:rsidR="00991FC5" w:rsidRPr="00780C79" w:rsidRDefault="00991FC5" w:rsidP="00991FC5">
            <w:pPr>
              <w:spacing w:after="0"/>
              <w:jc w:val="center"/>
              <w:rPr>
                <w:sz w:val="20"/>
              </w:rPr>
            </w:pPr>
            <w:r>
              <w:rPr>
                <w:sz w:val="20"/>
              </w:rPr>
              <w:t>4.5 lbs/person/day</w:t>
            </w:r>
            <w:r w:rsidRPr="0075688C">
              <w:rPr>
                <w:sz w:val="20"/>
                <w:vertAlign w:val="superscript"/>
              </w:rPr>
              <w:t>1</w:t>
            </w:r>
          </w:p>
        </w:tc>
      </w:tr>
      <w:tr w:rsidR="00991FC5" w:rsidRPr="00780C79">
        <w:trPr>
          <w:trHeight w:val="288"/>
          <w:jc w:val="center"/>
        </w:trPr>
        <w:tc>
          <w:tcPr>
            <w:tcW w:w="2065" w:type="pct"/>
            <w:vAlign w:val="center"/>
          </w:tcPr>
          <w:p w:rsidR="00991FC5" w:rsidRDefault="00991FC5" w:rsidP="00991FC5">
            <w:pPr>
              <w:spacing w:after="0"/>
              <w:jc w:val="center"/>
              <w:rPr>
                <w:sz w:val="20"/>
              </w:rPr>
            </w:pPr>
            <w:r>
              <w:rPr>
                <w:sz w:val="20"/>
              </w:rPr>
              <w:t>2007</w:t>
            </w:r>
          </w:p>
        </w:tc>
        <w:tc>
          <w:tcPr>
            <w:tcW w:w="2935" w:type="pct"/>
            <w:vAlign w:val="center"/>
          </w:tcPr>
          <w:p w:rsidR="00991FC5" w:rsidRDefault="00991FC5" w:rsidP="00991FC5">
            <w:pPr>
              <w:spacing w:after="0"/>
              <w:jc w:val="center"/>
              <w:rPr>
                <w:sz w:val="20"/>
              </w:rPr>
            </w:pPr>
            <w:r>
              <w:rPr>
                <w:sz w:val="20"/>
              </w:rPr>
              <w:t>5 lbs/person/day</w:t>
            </w:r>
            <w:r w:rsidRPr="0075688C">
              <w:rPr>
                <w:sz w:val="20"/>
                <w:vertAlign w:val="superscript"/>
              </w:rPr>
              <w:t>1</w:t>
            </w:r>
          </w:p>
        </w:tc>
      </w:tr>
      <w:tr w:rsidR="00991FC5" w:rsidRPr="00780C79">
        <w:trPr>
          <w:trHeight w:val="288"/>
          <w:jc w:val="center"/>
        </w:trPr>
        <w:tc>
          <w:tcPr>
            <w:tcW w:w="2065" w:type="pct"/>
            <w:vAlign w:val="center"/>
          </w:tcPr>
          <w:p w:rsidR="00991FC5" w:rsidRDefault="00991FC5" w:rsidP="00991FC5">
            <w:pPr>
              <w:spacing w:after="0"/>
              <w:jc w:val="center"/>
              <w:rPr>
                <w:sz w:val="20"/>
              </w:rPr>
            </w:pPr>
            <w:r>
              <w:rPr>
                <w:sz w:val="20"/>
              </w:rPr>
              <w:t>2006</w:t>
            </w:r>
          </w:p>
        </w:tc>
        <w:tc>
          <w:tcPr>
            <w:tcW w:w="2935" w:type="pct"/>
            <w:vAlign w:val="center"/>
          </w:tcPr>
          <w:p w:rsidR="00991FC5" w:rsidRDefault="00991FC5" w:rsidP="00991FC5">
            <w:pPr>
              <w:spacing w:after="0"/>
              <w:jc w:val="center"/>
              <w:rPr>
                <w:sz w:val="20"/>
              </w:rPr>
            </w:pPr>
            <w:r>
              <w:rPr>
                <w:sz w:val="20"/>
              </w:rPr>
              <w:t>64%</w:t>
            </w:r>
          </w:p>
        </w:tc>
      </w:tr>
      <w:tr w:rsidR="00991FC5" w:rsidRPr="00780C79">
        <w:trPr>
          <w:trHeight w:val="288"/>
          <w:jc w:val="center"/>
        </w:trPr>
        <w:tc>
          <w:tcPr>
            <w:tcW w:w="2065" w:type="pct"/>
            <w:vAlign w:val="center"/>
          </w:tcPr>
          <w:p w:rsidR="00991FC5" w:rsidRDefault="00991FC5" w:rsidP="00991FC5">
            <w:pPr>
              <w:spacing w:after="0"/>
              <w:jc w:val="center"/>
              <w:rPr>
                <w:sz w:val="20"/>
              </w:rPr>
            </w:pPr>
            <w:r>
              <w:rPr>
                <w:sz w:val="20"/>
              </w:rPr>
              <w:t>2005</w:t>
            </w:r>
          </w:p>
        </w:tc>
        <w:tc>
          <w:tcPr>
            <w:tcW w:w="2935" w:type="pct"/>
            <w:vAlign w:val="center"/>
          </w:tcPr>
          <w:p w:rsidR="00991FC5" w:rsidRDefault="00991FC5" w:rsidP="00991FC5">
            <w:pPr>
              <w:spacing w:after="0"/>
              <w:jc w:val="center"/>
              <w:rPr>
                <w:sz w:val="20"/>
              </w:rPr>
            </w:pPr>
            <w:r>
              <w:rPr>
                <w:sz w:val="20"/>
              </w:rPr>
              <w:t>61%</w:t>
            </w:r>
          </w:p>
        </w:tc>
      </w:tr>
      <w:tr w:rsidR="00991FC5" w:rsidRPr="00780C79">
        <w:trPr>
          <w:trHeight w:val="288"/>
          <w:jc w:val="center"/>
        </w:trPr>
        <w:tc>
          <w:tcPr>
            <w:tcW w:w="2065" w:type="pct"/>
            <w:vAlign w:val="center"/>
          </w:tcPr>
          <w:p w:rsidR="00991FC5" w:rsidRPr="00B848DD" w:rsidRDefault="00991FC5" w:rsidP="00991FC5">
            <w:pPr>
              <w:spacing w:after="0"/>
              <w:jc w:val="center"/>
              <w:rPr>
                <w:sz w:val="20"/>
              </w:rPr>
            </w:pPr>
            <w:r w:rsidRPr="00B848DD">
              <w:rPr>
                <w:sz w:val="20"/>
              </w:rPr>
              <w:t>2004</w:t>
            </w:r>
          </w:p>
        </w:tc>
        <w:tc>
          <w:tcPr>
            <w:tcW w:w="2935" w:type="pct"/>
            <w:vAlign w:val="center"/>
          </w:tcPr>
          <w:p w:rsidR="00991FC5" w:rsidRPr="0075688C" w:rsidRDefault="00991FC5" w:rsidP="00991FC5">
            <w:pPr>
              <w:spacing w:after="0"/>
              <w:jc w:val="center"/>
              <w:rPr>
                <w:sz w:val="20"/>
              </w:rPr>
            </w:pPr>
            <w:r w:rsidRPr="0075688C">
              <w:rPr>
                <w:sz w:val="20"/>
              </w:rPr>
              <w:t>58%</w:t>
            </w:r>
          </w:p>
        </w:tc>
      </w:tr>
      <w:tr w:rsidR="00991FC5" w:rsidRPr="00780C79">
        <w:trPr>
          <w:trHeight w:val="288"/>
          <w:jc w:val="center"/>
        </w:trPr>
        <w:tc>
          <w:tcPr>
            <w:tcW w:w="2065" w:type="pct"/>
            <w:vAlign w:val="center"/>
          </w:tcPr>
          <w:p w:rsidR="00991FC5" w:rsidRPr="00B848DD" w:rsidRDefault="00991FC5" w:rsidP="00991FC5">
            <w:pPr>
              <w:spacing w:after="0"/>
              <w:jc w:val="center"/>
              <w:rPr>
                <w:sz w:val="20"/>
              </w:rPr>
            </w:pPr>
            <w:r w:rsidRPr="00B848DD">
              <w:rPr>
                <w:sz w:val="20"/>
              </w:rPr>
              <w:t>2003</w:t>
            </w:r>
          </w:p>
        </w:tc>
        <w:tc>
          <w:tcPr>
            <w:tcW w:w="2935" w:type="pct"/>
            <w:vAlign w:val="center"/>
          </w:tcPr>
          <w:p w:rsidR="00991FC5" w:rsidRPr="0075688C" w:rsidRDefault="00991FC5" w:rsidP="00991FC5">
            <w:pPr>
              <w:spacing w:after="0"/>
              <w:jc w:val="center"/>
              <w:rPr>
                <w:sz w:val="20"/>
              </w:rPr>
            </w:pPr>
            <w:r w:rsidRPr="0075688C">
              <w:rPr>
                <w:sz w:val="20"/>
              </w:rPr>
              <w:t>55.1%</w:t>
            </w:r>
          </w:p>
        </w:tc>
      </w:tr>
    </w:tbl>
    <w:p w:rsidR="00991FC5" w:rsidRDefault="00991FC5" w:rsidP="00991FC5">
      <w:pPr>
        <w:pStyle w:val="Source"/>
        <w:spacing w:after="0"/>
        <w:ind w:left="1440" w:right="1440"/>
        <w:rPr>
          <w:rFonts w:eastAsia="Calibri"/>
        </w:rPr>
      </w:pPr>
      <w:r>
        <w:rPr>
          <w:rFonts w:eastAsia="Calibri"/>
        </w:rPr>
        <w:t>Source: SCWA Waste Stream Profiles.  Available at:</w:t>
      </w:r>
    </w:p>
    <w:p w:rsidR="00991FC5" w:rsidRDefault="00991FC5" w:rsidP="00991FC5">
      <w:pPr>
        <w:pStyle w:val="Source"/>
        <w:spacing w:after="0"/>
        <w:ind w:left="1440" w:right="1440"/>
        <w:rPr>
          <w:rFonts w:eastAsia="Calibri"/>
        </w:rPr>
      </w:pPr>
      <w:r>
        <w:rPr>
          <w:rFonts w:eastAsia="Calibri"/>
        </w:rPr>
        <w:t xml:space="preserve"> </w:t>
      </w:r>
      <w:hyperlink r:id="rId8" w:history="1">
        <w:r w:rsidRPr="004542C5">
          <w:rPr>
            <w:rStyle w:val="Hyperlink"/>
            <w:rFonts w:eastAsia="Calibri"/>
          </w:rPr>
          <w:t>http://www.recyclenow.org/agency/waste_stream_profiles.asp</w:t>
        </w:r>
      </w:hyperlink>
      <w:r>
        <w:rPr>
          <w:rFonts w:eastAsia="Calibri"/>
        </w:rPr>
        <w:t xml:space="preserve">  Accessed July 1, 2011.  </w:t>
      </w:r>
    </w:p>
    <w:p w:rsidR="005D7E08" w:rsidRDefault="00591F37">
      <w:pPr>
        <w:ind w:left="1440"/>
        <w:rPr>
          <w:rFonts w:eastAsia="Calibri"/>
          <w:sz w:val="18"/>
        </w:rPr>
      </w:pPr>
      <w:r w:rsidRPr="00591F37">
        <w:rPr>
          <w:rFonts w:eastAsia="Calibri"/>
          <w:sz w:val="18"/>
        </w:rPr>
        <w:t xml:space="preserve">Note 1: </w:t>
      </w:r>
      <w:r w:rsidRPr="00591F37">
        <w:rPr>
          <w:rStyle w:val="Emphasis"/>
          <w:sz w:val="18"/>
        </w:rPr>
        <w:t xml:space="preserve">Per Capita Disposal Rate — The average amount of waste disposed within a county per person for a given year. This benchmark simply divides the total waste generated within a jurisdiction by the population (or sometimes employment data) and number of days in the year. The switch from a diversion rate to a per capita disposal rate simplifies the reporting process between a jurisdiction and </w:t>
      </w:r>
      <w:proofErr w:type="spellStart"/>
      <w:r w:rsidRPr="00591F37">
        <w:rPr>
          <w:rStyle w:val="Emphasis"/>
          <w:sz w:val="18"/>
        </w:rPr>
        <w:t>CalRecycle</w:t>
      </w:r>
      <w:proofErr w:type="spellEnd"/>
      <w:r w:rsidRPr="00591F37">
        <w:rPr>
          <w:rStyle w:val="Emphasis"/>
          <w:sz w:val="18"/>
        </w:rPr>
        <w:t xml:space="preserve"> and assists in a more timely evaluation of waste diversion progress.</w:t>
      </w:r>
    </w:p>
    <w:p w:rsidR="00991FC5" w:rsidRPr="00F4688C" w:rsidRDefault="00991FC5" w:rsidP="00991FC5">
      <w:pPr>
        <w:pStyle w:val="Heading3"/>
      </w:pPr>
      <w:r w:rsidRPr="00F4688C">
        <w:t>Waste Collection Services</w:t>
      </w:r>
    </w:p>
    <w:p w:rsidR="00991FC5" w:rsidRPr="004D374F" w:rsidRDefault="00991FC5" w:rsidP="00991FC5">
      <w:pPr>
        <w:rPr>
          <w:highlight w:val="yellow"/>
        </w:rPr>
      </w:pPr>
      <w:r>
        <w:rPr>
          <w:rFonts w:eastAsia="Calibri"/>
        </w:rPr>
        <w:t>Redwood Empire Disposal</w:t>
      </w:r>
      <w:r w:rsidRPr="004D374F">
        <w:rPr>
          <w:rFonts w:eastAsia="Calibri"/>
        </w:rPr>
        <w:t xml:space="preserve"> offers weekly garbage service to </w:t>
      </w:r>
      <w:r>
        <w:rPr>
          <w:rFonts w:eastAsia="Calibri"/>
        </w:rPr>
        <w:t xml:space="preserve">residential and commercial </w:t>
      </w:r>
      <w:r w:rsidRPr="004D374F">
        <w:rPr>
          <w:rFonts w:eastAsia="Calibri"/>
        </w:rPr>
        <w:t>customers</w:t>
      </w:r>
      <w:r>
        <w:rPr>
          <w:rFonts w:eastAsia="Calibri"/>
        </w:rPr>
        <w:t xml:space="preserve"> in the City</w:t>
      </w:r>
      <w:r w:rsidRPr="004D374F">
        <w:rPr>
          <w:rFonts w:eastAsia="Calibri"/>
        </w:rPr>
        <w:t xml:space="preserve">. Included in the </w:t>
      </w:r>
      <w:r>
        <w:rPr>
          <w:rFonts w:eastAsia="Calibri"/>
        </w:rPr>
        <w:t xml:space="preserve">residential </w:t>
      </w:r>
      <w:r w:rsidRPr="004D374F">
        <w:rPr>
          <w:rFonts w:eastAsia="Calibri"/>
        </w:rPr>
        <w:t xml:space="preserve">fee for garbage service is a weekly curbside recycling program and weekly compost service. </w:t>
      </w:r>
      <w:r>
        <w:rPr>
          <w:rFonts w:eastAsia="Calibri"/>
        </w:rPr>
        <w:t xml:space="preserve"> </w:t>
      </w:r>
      <w:r w:rsidRPr="004D374F">
        <w:rPr>
          <w:rFonts w:eastAsia="Calibri"/>
        </w:rPr>
        <w:t>Residents may choose from 20, 32, 68, or 95-gallon rolling garbage carts</w:t>
      </w:r>
      <w:r>
        <w:rPr>
          <w:rFonts w:eastAsia="Calibri"/>
        </w:rPr>
        <w:t>, which are collected once per week</w:t>
      </w:r>
      <w:r w:rsidRPr="004D374F">
        <w:rPr>
          <w:rFonts w:eastAsia="Calibri"/>
        </w:rPr>
        <w:t xml:space="preserve">. The cost of </w:t>
      </w:r>
      <w:r>
        <w:rPr>
          <w:rFonts w:eastAsia="Calibri"/>
        </w:rPr>
        <w:t xml:space="preserve">the </w:t>
      </w:r>
      <w:r w:rsidRPr="004D374F">
        <w:rPr>
          <w:rFonts w:eastAsia="Calibri"/>
        </w:rPr>
        <w:t xml:space="preserve">service is based on the size of </w:t>
      </w:r>
      <w:r>
        <w:rPr>
          <w:rFonts w:eastAsia="Calibri"/>
        </w:rPr>
        <w:t>the</w:t>
      </w:r>
      <w:r w:rsidRPr="004D374F">
        <w:rPr>
          <w:rFonts w:eastAsia="Calibri"/>
        </w:rPr>
        <w:t xml:space="preserve"> garbage cart. </w:t>
      </w:r>
      <w:r>
        <w:rPr>
          <w:rFonts w:eastAsia="Calibri"/>
        </w:rPr>
        <w:t xml:space="preserve"> </w:t>
      </w:r>
      <w:r>
        <w:t>Redwood Empire Disposal offers several options for commercial accounts. Recycling is a free service for all refuse accounts. Depending on the area, commercial accounts may choose from 1.5, 2, 3, 4, 6 cubic yard bins. Commercial collection services are offered up to five times a week. Small commercial generators may subscribe to weekly cart service, but will need to bring their carts to the roadside (</w:t>
      </w:r>
      <w:hyperlink r:id="rId9" w:history="1">
        <w:r w:rsidRPr="00573631">
          <w:rPr>
            <w:rStyle w:val="Hyperlink"/>
          </w:rPr>
          <w:t>http://unicycler.com/commercial/sonoma/cotati</w:t>
        </w:r>
      </w:hyperlink>
      <w:r>
        <w:t xml:space="preserve">.  Accessed 5/20/11). </w:t>
      </w:r>
    </w:p>
    <w:p w:rsidR="00991FC5" w:rsidRPr="009327AB" w:rsidRDefault="00991FC5" w:rsidP="00991FC5">
      <w:pPr>
        <w:pStyle w:val="Heading3"/>
      </w:pPr>
      <w:r w:rsidRPr="009327AB">
        <w:t>Waste Disposal facilities</w:t>
      </w:r>
    </w:p>
    <w:p w:rsidR="00991FC5" w:rsidRDefault="00991FC5" w:rsidP="00991FC5">
      <w:r>
        <w:t xml:space="preserve">Information regarding waste disposal facilities has been taken from the </w:t>
      </w:r>
      <w:proofErr w:type="spellStart"/>
      <w:r>
        <w:t>CalRecycle</w:t>
      </w:r>
      <w:proofErr w:type="spellEnd"/>
      <w:r>
        <w:t xml:space="preserve"> website databases (</w:t>
      </w:r>
      <w:r w:rsidRPr="00E01E32">
        <w:t>http://www.calrecycle.ca.gov/databases/</w:t>
      </w:r>
      <w:r>
        <w:t>), the Sonoma County Waste Management Agency website, accessed in June 2014, and the 2013 Sonoma County and Republic Services Master Operations Agreement.</w:t>
      </w:r>
    </w:p>
    <w:p w:rsidR="00991FC5" w:rsidRPr="009327AB" w:rsidRDefault="00991FC5" w:rsidP="00991FC5">
      <w:pPr>
        <w:pStyle w:val="Heading4"/>
      </w:pPr>
      <w:r w:rsidRPr="009327AB">
        <w:t>Central Disposal Site</w:t>
      </w:r>
    </w:p>
    <w:p w:rsidR="00991FC5" w:rsidRDefault="00991FC5" w:rsidP="00991FC5">
      <w:r w:rsidRPr="009327AB">
        <w:t>Sonoma County’s Central Disposal Site features a full spectrum of waste management programs to serve the 467,000 residents and thousands of businesses in Sonoma County.</w:t>
      </w:r>
      <w:r>
        <w:t xml:space="preserve">  </w:t>
      </w:r>
      <w:r w:rsidRPr="009327AB">
        <w:t xml:space="preserve">The </w:t>
      </w:r>
      <w:r>
        <w:t xml:space="preserve">398-acre </w:t>
      </w:r>
      <w:r w:rsidRPr="009327AB">
        <w:t xml:space="preserve">Central Disposal Site integrates reuse &amp; recycling, household hazardous waste management services, yard </w:t>
      </w:r>
      <w:r w:rsidRPr="009327AB">
        <w:lastRenderedPageBreak/>
        <w:t>debris and food waste composting, solid waste disposal, along with production of electrical energy and vehicle fuel from landfill gas in a coordinated system at a single location.</w:t>
      </w:r>
    </w:p>
    <w:p w:rsidR="00991FC5" w:rsidRDefault="00991FC5" w:rsidP="00991FC5">
      <w:r>
        <w:t xml:space="preserve">The Central Disposal Site has a permitted daily capacity of 2,500 tons.  Its 172-acre waste disposal area has a total permitted capacity of 19,779,250 cubic yards, with a remaining capacity of 9,470,629 cubic yards (47.9 percent).  The permit for this facility is scheduled to be reviewed in March 2015. </w:t>
      </w:r>
      <w:r>
        <w:rPr>
          <w:b/>
          <w:bCs/>
        </w:rPr>
        <w:t xml:space="preserve"> </w:t>
      </w:r>
      <w:r w:rsidRPr="006702A4">
        <w:rPr>
          <w:bCs/>
        </w:rPr>
        <w:t xml:space="preserve">The Central Disposal Site was </w:t>
      </w:r>
      <w:r>
        <w:t xml:space="preserve">closed in 2005 following the discovery that a damaged dump protective liner might lead to ground water contamination.  The liner was repaired, and the facility re-opened in September 2010. </w:t>
      </w:r>
    </w:p>
    <w:p w:rsidR="00991FC5" w:rsidRPr="009327AB" w:rsidRDefault="00991FC5" w:rsidP="00991FC5">
      <w:r>
        <w:t xml:space="preserve">Sonoma County and the cities within the SCWMA recently entered into a Master Operations Agreement (MOA) with Republic Services, a private waste services company, to develop and implement a long-term strategy for solid waste disposal and recycling.  Under the MOA, the County would retain ownership of the Central Disposal Site and enter into a long-term operations contract with Republic Services.  The County and the cities within Sonoma County would commit their waste flow to Republic Services for a 20-year term.  In exchange for the 20-year waste flow commitment, each city receives indemnification in perpetuity against liabilities and costs associated with facility closures and remediation.  The MOA provides a funding mechanism to implement future facility expansions at the Central Disposal Site in order to meet future waste generation demand.  </w:t>
      </w:r>
    </w:p>
    <w:p w:rsidR="00991FC5" w:rsidRDefault="00991FC5" w:rsidP="00991FC5">
      <w:pPr>
        <w:pStyle w:val="Heading4"/>
      </w:pPr>
      <w:r w:rsidRPr="00E01E32">
        <w:t>Diversion Facilities</w:t>
      </w:r>
    </w:p>
    <w:p w:rsidR="00991FC5" w:rsidRDefault="00991FC5" w:rsidP="00991FC5">
      <w:r>
        <w:t>The SCWMA’s primary diversion facility is located at the Central Disposal Site, and SCWMA also maintains transfer stations in Annapolis, Occidental, Sonoma, Healdsburg, and Guerneville. At all these disposal sites, the SCWMA receives both source-separated recyclables and refuse. Large transfer trailers haul refuse from the transfer stations to the Central Disposal Site for landfilling. Other transfer trailers haul wood waste and yard debris from three of the transfer stations (Sonoma, Guerneville, and Healdsburg) to the central landfill for processing.</w:t>
      </w:r>
    </w:p>
    <w:p w:rsidR="00991FC5" w:rsidRDefault="00991FC5" w:rsidP="00991FC5">
      <w:pPr>
        <w:pStyle w:val="Heading5"/>
      </w:pPr>
      <w:r>
        <w:t>Composting</w:t>
      </w:r>
    </w:p>
    <w:p w:rsidR="00991FC5" w:rsidRDefault="00991FC5" w:rsidP="00991FC5">
      <w:r>
        <w:t>The municipal composting program is operated by Sonoma Compost Company under contract with the Sonoma County Waste Management Agency. Sonoma Compost Company is responsible for processing all yard debris and vegetative food waste collected from Refuse Disposal sites and from weekly pick up of residential curbside green waste. Activities occur on a 25-acre portion of the Central Disposal Site between Cotati and Petaluma.</w:t>
      </w:r>
    </w:p>
    <w:p w:rsidR="00991FC5" w:rsidRDefault="00991FC5" w:rsidP="00991FC5">
      <w:r>
        <w:t>The yard debris is hand-sorted to remove unacceptable materials such as plastic bags and other non-organic items and then ground, and placed in windrows for about 10-12 weeks to produce a soil amendment. Specialty soil products are created by adding chicken feathers from local poultry processors, rice hulls and duck manure.</w:t>
      </w:r>
    </w:p>
    <w:p w:rsidR="00991FC5" w:rsidRPr="009A092A" w:rsidRDefault="00991FC5" w:rsidP="00991FC5">
      <w:r>
        <w:t xml:space="preserve">Compost produced in the municipal program is listed as an allowed material by the Organic Materials Review Institute for use in the production of organic food and fiber. Because of this listing, compost produced by Sonoma Compost Company is used on a number of California </w:t>
      </w:r>
      <w:r>
        <w:lastRenderedPageBreak/>
        <w:t xml:space="preserve">Certified Organic Farms (CCOF).  </w:t>
      </w:r>
      <w:r w:rsidRPr="009A092A">
        <w:t xml:space="preserve">In 2008, 92,000 tons of </w:t>
      </w:r>
      <w:proofErr w:type="gramStart"/>
      <w:r w:rsidRPr="009A092A">
        <w:t>yard</w:t>
      </w:r>
      <w:proofErr w:type="gramEnd"/>
      <w:r w:rsidRPr="009A092A">
        <w:t xml:space="preserve"> debris was transformed into a valuable soil amendment.</w:t>
      </w:r>
    </w:p>
    <w:p w:rsidR="00991FC5" w:rsidRDefault="00991FC5" w:rsidP="00991FC5">
      <w:r>
        <w:t xml:space="preserve">SCWMA offers residents within its jurisdiction the option of including yard debris and many types of food items in </w:t>
      </w:r>
      <w:proofErr w:type="spellStart"/>
      <w:r>
        <w:t>greenwaste</w:t>
      </w:r>
      <w:proofErr w:type="spellEnd"/>
      <w:r>
        <w:t xml:space="preserve"> recycling bins, which are picked up curbside and disposed of through composting.  Food items that may be included in curbside bins include: fruit and peelings, vegetables and peelings, pasta and rice, bread, tea bags, coffee grounds and filters, and eggshells.  SCWMA also provides information and resources to assist residents with composting at home.  </w:t>
      </w:r>
    </w:p>
    <w:p w:rsidR="00991FC5" w:rsidRDefault="00991FC5" w:rsidP="00991FC5">
      <w:r>
        <w:t>SCWMA also operates a commercial veggie scrap composting program.  Vegetable food scraps that can't be donated, such as spoiled fruits and vegetables, stale bakery items and kitchen prep trimmings, can be composted into a beneficial soil amendment, thus greatly reducing the amount of material going into landfill. Restaurants, grocery stores, schools, hospitals and other facilities can benefit by participating in garbage company pick up, by directly hauling material to the municipal composting program or by composting food scraps on-site.</w:t>
      </w:r>
    </w:p>
    <w:p w:rsidR="00991FC5" w:rsidRDefault="00991FC5" w:rsidP="00991FC5">
      <w:pPr>
        <w:pStyle w:val="Heading5"/>
      </w:pPr>
      <w:r>
        <w:t>Recycling</w:t>
      </w:r>
    </w:p>
    <w:p w:rsidR="00991FC5" w:rsidRPr="00C139A1" w:rsidRDefault="00991FC5" w:rsidP="00991FC5">
      <w:pPr>
        <w:rPr>
          <w:rFonts w:eastAsia="Calibri"/>
        </w:rPr>
      </w:pPr>
      <w:r w:rsidRPr="00C139A1">
        <w:rPr>
          <w:rFonts w:eastAsia="Calibri"/>
        </w:rPr>
        <w:t xml:space="preserve">Most of Sonoma County’s single-stream recycling is sorted and baled for shipping at North Bay Corporation’s Materials Recovery Facility in Santa Rosa. </w:t>
      </w:r>
    </w:p>
    <w:p w:rsidR="00991FC5" w:rsidRPr="00C139A1" w:rsidRDefault="00991FC5" w:rsidP="00991FC5">
      <w:pPr>
        <w:rPr>
          <w:rFonts w:eastAsia="Calibri"/>
        </w:rPr>
      </w:pPr>
      <w:r w:rsidRPr="00C139A1">
        <w:rPr>
          <w:rFonts w:eastAsia="Calibri"/>
        </w:rPr>
        <w:t>The process starts when giant mounds of r</w:t>
      </w:r>
      <w:r>
        <w:rPr>
          <w:rFonts w:eastAsia="Calibri"/>
        </w:rPr>
        <w:t>ecycling are sorted daily in a </w:t>
      </w:r>
      <w:r w:rsidRPr="00C139A1">
        <w:rPr>
          <w:rFonts w:eastAsia="Calibri"/>
        </w:rPr>
        <w:t>process which incorporates both mechanical and human sorting. The first sort is done by hand where large pieces of cardboard, rigid plastics, garbage, and plastic bags are removed.</w:t>
      </w:r>
    </w:p>
    <w:p w:rsidR="00991FC5" w:rsidRPr="00C139A1" w:rsidRDefault="00991FC5" w:rsidP="00991FC5">
      <w:pPr>
        <w:rPr>
          <w:rFonts w:eastAsia="Calibri"/>
        </w:rPr>
      </w:pPr>
      <w:r w:rsidRPr="00C139A1">
        <w:rPr>
          <w:rFonts w:eastAsia="Calibri"/>
        </w:rPr>
        <w:t xml:space="preserve">Next, the material is pushed up a large conveyor belt with a row of rods that contain series of offset lobes (similar to a cam shaft) which “float” the lighter material, such as paper, to an upper belt which feeds directly to the baler where paper and other fiber products are collected and prepared for shipping. </w:t>
      </w:r>
    </w:p>
    <w:p w:rsidR="00991FC5" w:rsidRPr="00C139A1" w:rsidRDefault="00991FC5" w:rsidP="00991FC5">
      <w:pPr>
        <w:rPr>
          <w:rFonts w:eastAsia="Calibri"/>
        </w:rPr>
      </w:pPr>
      <w:r w:rsidRPr="00C139A1">
        <w:rPr>
          <w:rFonts w:eastAsia="Calibri"/>
        </w:rPr>
        <w:t xml:space="preserve">Beverage/food/household containers and smaller bits of paper fall through the first set of cams onto another belt. These are fed up a second incline conveyor containing a smaller set of offset lobes to capture the smaller pieces of paper. That belt feeds to a baler for processing. </w:t>
      </w:r>
    </w:p>
    <w:p w:rsidR="00991FC5" w:rsidRPr="00C139A1" w:rsidRDefault="00991FC5" w:rsidP="00991FC5">
      <w:pPr>
        <w:rPr>
          <w:rFonts w:eastAsia="Calibri"/>
        </w:rPr>
      </w:pPr>
      <w:r w:rsidRPr="00C139A1">
        <w:rPr>
          <w:rFonts w:eastAsia="Calibri"/>
        </w:rPr>
        <w:t xml:space="preserve">The beverage/food/household containers which fall through to the container line pass under a strong magnet which removes all steel cans and other magnetic materials. Remaining plastic containers are sorted into different grades by hand, and an “eddy” current pushes aluminum cans into a collection hopper. </w:t>
      </w:r>
    </w:p>
    <w:p w:rsidR="00991FC5" w:rsidRPr="000F0A54" w:rsidRDefault="00991FC5" w:rsidP="00991FC5">
      <w:pPr>
        <w:pStyle w:val="Heading3"/>
      </w:pPr>
      <w:r w:rsidRPr="000F0A54">
        <w:t>Regulatory Setting – Solid Waste</w:t>
      </w:r>
    </w:p>
    <w:p w:rsidR="00991FC5" w:rsidRPr="000F0A54" w:rsidRDefault="00991FC5" w:rsidP="00991FC5">
      <w:pPr>
        <w:pStyle w:val="Heading5"/>
      </w:pPr>
      <w:r w:rsidRPr="000F0A54">
        <w:t xml:space="preserve">Federal </w:t>
      </w:r>
    </w:p>
    <w:p w:rsidR="00991FC5" w:rsidRPr="000F0A54" w:rsidRDefault="00991FC5" w:rsidP="00991FC5">
      <w:pPr>
        <w:pStyle w:val="Heading4"/>
      </w:pPr>
      <w:r w:rsidRPr="000F0A54">
        <w:t>Resource Conservation and Recovery Act</w:t>
      </w:r>
    </w:p>
    <w:p w:rsidR="00991FC5" w:rsidRPr="000F0A54" w:rsidRDefault="00991FC5" w:rsidP="00991FC5">
      <w:pPr>
        <w:rPr>
          <w:rFonts w:cs="CenturyGothic"/>
        </w:rPr>
      </w:pPr>
      <w:r w:rsidRPr="000F0A54">
        <w:rPr>
          <w:rFonts w:cs="CenturyGothic"/>
        </w:rPr>
        <w:t xml:space="preserve">The Resource Conservation and Recovery Act (RCRA) </w:t>
      </w:r>
      <w:proofErr w:type="gramStart"/>
      <w:r w:rsidRPr="000F0A54">
        <w:rPr>
          <w:rFonts w:cs="CenturyGothic"/>
        </w:rPr>
        <w:t>was</w:t>
      </w:r>
      <w:proofErr w:type="gramEnd"/>
      <w:r w:rsidRPr="000F0A54">
        <w:rPr>
          <w:rFonts w:cs="CenturyGothic"/>
        </w:rPr>
        <w:t xml:space="preserve"> enacted in 1976 to address the huge volumes of municipal and industrial solid waste generated nationwide. After several amendments, the Act as it stands today governs the management of solid and hazardous waste and underground </w:t>
      </w:r>
      <w:r w:rsidRPr="000F0A54">
        <w:rPr>
          <w:rFonts w:cs="CenturyGothic"/>
        </w:rPr>
        <w:lastRenderedPageBreak/>
        <w:t>storage tanks (USTs). RCRA, enacted in 1976, is an amendment to the Solid Waste Disposal Act of 1965. RCRA has been amended several times, most significantly by the Hazardous and Solid Waste Amendments (HSWA) of 1984. RCRA is a combination of the first solid waste statutes and all subsequent amendments. RCRA authorizes the Environmental Protection Agency (EPA) to regulate waste management activities. RCRA authorizes states to develop and enforce their own waste management programs, in lieu of the federal program, if a state's waste management program is substantially equivalent to, consistent with, and no less stringent than the federal program.</w:t>
      </w:r>
    </w:p>
    <w:p w:rsidR="00991FC5" w:rsidRPr="000F0A54" w:rsidRDefault="00991FC5" w:rsidP="00991FC5">
      <w:pPr>
        <w:pStyle w:val="Heading5"/>
      </w:pPr>
      <w:r w:rsidRPr="000F0A54">
        <w:t xml:space="preserve">State </w:t>
      </w:r>
    </w:p>
    <w:p w:rsidR="00991FC5" w:rsidRPr="000F0A54" w:rsidRDefault="00991FC5" w:rsidP="00991FC5">
      <w:pPr>
        <w:pStyle w:val="Heading4"/>
      </w:pPr>
      <w:r w:rsidRPr="000F0A54">
        <w:t>California Integrated Waste Management Act</w:t>
      </w:r>
    </w:p>
    <w:p w:rsidR="00991FC5" w:rsidRPr="000F0A54" w:rsidRDefault="00991FC5" w:rsidP="00991FC5">
      <w:pPr>
        <w:rPr>
          <w:rFonts w:cs="CenturyGothic"/>
        </w:rPr>
      </w:pPr>
      <w:r w:rsidRPr="000F0A54">
        <w:rPr>
          <w:rFonts w:cs="CenturyGothic"/>
        </w:rPr>
        <w:t xml:space="preserve">The California Integrated Waste Management Act of 1989 (AB 939) requires every city and county in the State to prepare a Source Reduction and Recycling Element to its Solid Waste Management Plan that identifies how each jurisdiction will meet the mandatory State waste diversion goals of 25 percent by 1995 and 50 percent by 2000. The purpose of AB 939 is to “reduce, recycle, and re-use solid waste generated in the State to the maximum extent feasible.” The term “integrated waste management” refers to the use of a variety of waste management practices to safely and effectively handle the municipal solid waste stream with the least adverse impact on human health and the environment. The Act has established a waste management hierarchy, as follows: Source Reduction; Recycling; Composting; Transformation; and Disposal. </w:t>
      </w:r>
      <w:proofErr w:type="spellStart"/>
      <w:r w:rsidRPr="000F0A54">
        <w:rPr>
          <w:rFonts w:cs="CenturyGothic"/>
        </w:rPr>
        <w:t>Norcal</w:t>
      </w:r>
      <w:proofErr w:type="spellEnd"/>
      <w:r w:rsidRPr="000F0A54">
        <w:rPr>
          <w:rFonts w:cs="CenturyGothic"/>
        </w:rPr>
        <w:t xml:space="preserve"> Waste Systems of Butte County, Inc. provides for source reduction through the collection of </w:t>
      </w:r>
      <w:proofErr w:type="spellStart"/>
      <w:r w:rsidRPr="000F0A54">
        <w:rPr>
          <w:rFonts w:cs="CenturyGothic"/>
        </w:rPr>
        <w:t>greenwaste</w:t>
      </w:r>
      <w:proofErr w:type="spellEnd"/>
      <w:r w:rsidRPr="000F0A54">
        <w:rPr>
          <w:rFonts w:cs="CenturyGothic"/>
        </w:rPr>
        <w:t xml:space="preserve"> and recycling as part of the waste disposal program, which is available in many areas of Colusa County.</w:t>
      </w:r>
    </w:p>
    <w:p w:rsidR="00991FC5" w:rsidRPr="000F0A54" w:rsidRDefault="00991FC5" w:rsidP="00991FC5">
      <w:pPr>
        <w:pStyle w:val="Heading4"/>
      </w:pPr>
      <w:r w:rsidRPr="000F0A54">
        <w:t>California Integrated Waste Management Board Model Ordinance</w:t>
      </w:r>
    </w:p>
    <w:p w:rsidR="00991FC5" w:rsidRPr="000F0A54" w:rsidRDefault="00991FC5" w:rsidP="00991FC5">
      <w:pPr>
        <w:rPr>
          <w:rFonts w:cs="CenturyGothic"/>
        </w:rPr>
      </w:pPr>
      <w:r w:rsidRPr="000F0A54">
        <w:rPr>
          <w:rFonts w:cs="CenturyGothic"/>
        </w:rPr>
        <w:t>Subsequent to the Integrated Waste Management Act, additional legislation was passed to assist local jurisdictions in accomplishing the goals of AB 939. The California Solid Waste Re-use and Recycling Access Act of 1991 (§42900-42911 of the Public Resources Code) directs the California Integrated Waste Management Board (CIWMB) to draft a “model ordinance” relating to adequate areas for collecting and loading recyclable materials in development projects. The model ordinance requires that any new development project, for which an application is submitted on or after September 1, 1994, include “adequate, accessible, and convenient areas for collecting and loading recyclable materials.” For subdivisions of single family detached homes, recycling areas are required to serve only the needs of the homes within that subdivision.</w:t>
      </w:r>
    </w:p>
    <w:p w:rsidR="00991FC5" w:rsidRPr="000F0A54" w:rsidRDefault="00991FC5" w:rsidP="00991FC5">
      <w:pPr>
        <w:pStyle w:val="Heading5"/>
      </w:pPr>
      <w:r w:rsidRPr="000F0A54">
        <w:t>Local</w:t>
      </w:r>
    </w:p>
    <w:p w:rsidR="00991FC5" w:rsidRPr="000F0A54" w:rsidRDefault="00991FC5" w:rsidP="00991FC5">
      <w:pPr>
        <w:pStyle w:val="Heading4"/>
      </w:pPr>
      <w:r w:rsidRPr="000F0A54">
        <w:t>Sonoma County Integrated Waste Management Plan</w:t>
      </w:r>
    </w:p>
    <w:p w:rsidR="00991FC5" w:rsidRDefault="00991FC5" w:rsidP="00991FC5">
      <w:pPr>
        <w:rPr>
          <w:rFonts w:cs="CenturyGothic"/>
        </w:rPr>
      </w:pPr>
      <w:r w:rsidRPr="000F0A54">
        <w:rPr>
          <w:rFonts w:cs="CenturyGothic"/>
        </w:rPr>
        <w:t>The Sonoma County Integrated Waste Management Plan is the primary local solid waste management planning document that demonstrates reduction of the amount of solid waste landfilled, long-term ability to ensure the implementation of countywide diversion programs, and provision of adequate</w:t>
      </w:r>
      <w:r w:rsidRPr="00AF2009">
        <w:rPr>
          <w:rFonts w:cs="CenturyGothic"/>
        </w:rPr>
        <w:t xml:space="preserve"> disposal capacity for local jurisdictions through the siting of disposal and transformation facilities. This planning document is known as the Countywide Integrated Waste Management Plan (</w:t>
      </w:r>
      <w:proofErr w:type="spellStart"/>
      <w:r w:rsidRPr="00AF2009">
        <w:rPr>
          <w:rFonts w:cs="CenturyGothic"/>
        </w:rPr>
        <w:t>CoIWMP</w:t>
      </w:r>
      <w:proofErr w:type="spellEnd"/>
      <w:r w:rsidRPr="00AF2009">
        <w:rPr>
          <w:rFonts w:cs="CenturyGothic"/>
        </w:rPr>
        <w:t xml:space="preserve">), and includes the Source Reduction and Recycling Element (SRRE), </w:t>
      </w:r>
      <w:r w:rsidRPr="00AF2009">
        <w:rPr>
          <w:rFonts w:cs="CenturyGothic"/>
        </w:rPr>
        <w:lastRenderedPageBreak/>
        <w:t xml:space="preserve">Household Hazardous Waste Element (HHWE), Non-Disposal Facility Element (NDFE), and the Siting Element. </w:t>
      </w:r>
    </w:p>
    <w:p w:rsidR="00991FC5" w:rsidRDefault="00991FC5" w:rsidP="00991FC5">
      <w:pPr>
        <w:pStyle w:val="Heading4"/>
      </w:pPr>
      <w:r w:rsidRPr="003A24F3">
        <w:t>SCWMA Waste Reduction Program for Carryout Bags</w:t>
      </w:r>
    </w:p>
    <w:p w:rsidR="00991FC5" w:rsidRPr="001B61C9" w:rsidDel="001B61C9" w:rsidRDefault="00991FC5" w:rsidP="00991FC5">
      <w:pPr>
        <w:rPr>
          <w:rFonts w:cs="CenturyGothic"/>
        </w:rPr>
      </w:pPr>
      <w:r w:rsidRPr="001B61C9">
        <w:rPr>
          <w:rFonts w:cs="CenturyGothic"/>
        </w:rPr>
        <w:t xml:space="preserve">To address the growing problem of carryout bag waste, on February 19, 2014 the cities and the County members of the Sonoma County Waste Management Agency passed Ordinance No. 2014-2 </w:t>
      </w:r>
      <w:r>
        <w:rPr>
          <w:rFonts w:cs="CenturyGothic"/>
        </w:rPr>
        <w:t>e</w:t>
      </w:r>
      <w:r w:rsidRPr="001B61C9">
        <w:rPr>
          <w:rFonts w:cs="CenturyGothic"/>
        </w:rPr>
        <w:t>stablishing a Waste Reduction Program for Carryout Bags</w:t>
      </w:r>
      <w:r>
        <w:rPr>
          <w:rFonts w:cs="CenturyGothic"/>
        </w:rPr>
        <w:t xml:space="preserve">.  The ordinance, which goes into effect on September 1, 2014, applies to all grocery stores and retail establishments.  The ordinance does not apply to eating establishments (stand-alone restaurants, delis, etc.) and non-profit charitable </w:t>
      </w:r>
      <w:proofErr w:type="spellStart"/>
      <w:r>
        <w:rPr>
          <w:rFonts w:cs="CenturyGothic"/>
        </w:rPr>
        <w:t>reusers</w:t>
      </w:r>
      <w:proofErr w:type="spellEnd"/>
      <w:r>
        <w:rPr>
          <w:rFonts w:cs="CenturyGothic"/>
        </w:rPr>
        <w:t xml:space="preserve">.  The ordinance prohibits all </w:t>
      </w:r>
      <w:proofErr w:type="spellStart"/>
      <w:r>
        <w:rPr>
          <w:rFonts w:cs="CenturyGothic"/>
        </w:rPr>
        <w:t>sing</w:t>
      </w:r>
      <w:r w:rsidR="00BD5658">
        <w:rPr>
          <w:rFonts w:cs="CenturyGothic"/>
        </w:rPr>
        <w:t>le</w:t>
      </w:r>
      <w:r>
        <w:rPr>
          <w:rFonts w:cs="CenturyGothic"/>
        </w:rPr>
        <w:t>sing</w:t>
      </w:r>
      <w:proofErr w:type="spellEnd"/>
      <w:r>
        <w:rPr>
          <w:rFonts w:cs="CenturyGothic"/>
        </w:rPr>
        <w:t xml:space="preserve">-use plastic carryout bags, and requires a minimum 10-cent charge on compliant recycled paper bags.  </w:t>
      </w:r>
    </w:p>
    <w:p w:rsidR="00991FC5" w:rsidRPr="00BC081D" w:rsidRDefault="00991FC5" w:rsidP="00991FC5">
      <w:pPr>
        <w:pStyle w:val="Heading4"/>
      </w:pPr>
      <w:r w:rsidRPr="001B61C9">
        <w:t>Cotati</w:t>
      </w:r>
      <w:r w:rsidRPr="00BC081D">
        <w:t xml:space="preserve"> Municipal Code, Chapter 8.08: Solid Waste Management</w:t>
      </w:r>
    </w:p>
    <w:p w:rsidR="00991FC5" w:rsidRPr="00BC081D" w:rsidRDefault="00991FC5" w:rsidP="00991FC5">
      <w:r w:rsidRPr="00BC081D">
        <w:t>Chapter 8.08 of the Cotati Municipal Code contains specific requirements related to:</w:t>
      </w:r>
    </w:p>
    <w:p w:rsidR="00991FC5" w:rsidRPr="00BC081D" w:rsidRDefault="00991FC5" w:rsidP="00991FC5">
      <w:pPr>
        <w:numPr>
          <w:ilvl w:val="0"/>
          <w:numId w:val="5"/>
        </w:numPr>
        <w:spacing w:line="240" w:lineRule="auto"/>
      </w:pPr>
      <w:r w:rsidRPr="00BC081D">
        <w:t>Pre-collection and storage of solid waste</w:t>
      </w:r>
    </w:p>
    <w:p w:rsidR="00991FC5" w:rsidRPr="00BC081D" w:rsidRDefault="00991FC5" w:rsidP="00991FC5">
      <w:pPr>
        <w:numPr>
          <w:ilvl w:val="0"/>
          <w:numId w:val="5"/>
        </w:numPr>
        <w:spacing w:line="240" w:lineRule="auto"/>
      </w:pPr>
      <w:r w:rsidRPr="00BC081D">
        <w:t>Waste ownership and responsibilities</w:t>
      </w:r>
    </w:p>
    <w:p w:rsidR="00991FC5" w:rsidRPr="00BC081D" w:rsidRDefault="00991FC5" w:rsidP="00991FC5">
      <w:pPr>
        <w:numPr>
          <w:ilvl w:val="0"/>
          <w:numId w:val="5"/>
        </w:numPr>
        <w:spacing w:line="240" w:lineRule="auto"/>
      </w:pPr>
      <w:r w:rsidRPr="00BC081D">
        <w:t>Waste collection</w:t>
      </w:r>
    </w:p>
    <w:p w:rsidR="00991FC5" w:rsidRPr="00BC081D" w:rsidRDefault="00991FC5" w:rsidP="00991FC5">
      <w:pPr>
        <w:numPr>
          <w:ilvl w:val="0"/>
          <w:numId w:val="5"/>
        </w:numPr>
        <w:spacing w:line="240" w:lineRule="auto"/>
      </w:pPr>
      <w:r w:rsidRPr="00BC081D">
        <w:t>Transfer station services</w:t>
      </w:r>
    </w:p>
    <w:p w:rsidR="00991FC5" w:rsidRPr="00BC081D" w:rsidRDefault="00991FC5" w:rsidP="00991FC5">
      <w:pPr>
        <w:numPr>
          <w:ilvl w:val="0"/>
          <w:numId w:val="5"/>
        </w:numPr>
        <w:spacing w:line="240" w:lineRule="auto"/>
      </w:pPr>
      <w:r w:rsidRPr="00BC081D">
        <w:t>Waste disposal, and</w:t>
      </w:r>
    </w:p>
    <w:p w:rsidR="00991FC5" w:rsidRPr="000F0A54" w:rsidRDefault="00991FC5" w:rsidP="00991FC5">
      <w:pPr>
        <w:numPr>
          <w:ilvl w:val="0"/>
          <w:numId w:val="5"/>
        </w:numPr>
        <w:spacing w:line="240" w:lineRule="auto"/>
      </w:pPr>
      <w:r w:rsidRPr="000F0A54">
        <w:t>Solid waste handling</w:t>
      </w:r>
    </w:p>
    <w:p w:rsidR="00991FC5" w:rsidRPr="000F0A54" w:rsidRDefault="00991FC5" w:rsidP="00991FC5">
      <w:pPr>
        <w:pStyle w:val="Heading3"/>
      </w:pPr>
      <w:r w:rsidRPr="000F0A54">
        <w:t>Thresholds of Significance</w:t>
      </w:r>
    </w:p>
    <w:p w:rsidR="00991FC5" w:rsidRPr="000F0A54" w:rsidRDefault="00991FC5" w:rsidP="00991FC5">
      <w:r w:rsidRPr="000F0A54">
        <w:t>Consistent with Appendix G of the CEQA Guidelines, the proposed project will have a significant impact on the environment associated with Utilities if it will:</w:t>
      </w:r>
    </w:p>
    <w:p w:rsidR="00991FC5" w:rsidRPr="000F0A54" w:rsidRDefault="00991FC5" w:rsidP="00991FC5">
      <w:pPr>
        <w:numPr>
          <w:ilvl w:val="0"/>
          <w:numId w:val="3"/>
        </w:numPr>
      </w:pPr>
      <w:r w:rsidRPr="000F0A54">
        <w:t>Be served by a landfill with sufficient permitted capacity to accommodate the project’s solid waste disposal needs.</w:t>
      </w:r>
    </w:p>
    <w:p w:rsidR="00991FC5" w:rsidRPr="000F0A54" w:rsidRDefault="00991FC5" w:rsidP="00991FC5">
      <w:pPr>
        <w:numPr>
          <w:ilvl w:val="0"/>
          <w:numId w:val="3"/>
        </w:numPr>
      </w:pPr>
      <w:r w:rsidRPr="000F0A54">
        <w:t>Comply with federal, State, and local statutes and regulations related to solid waste.</w:t>
      </w:r>
    </w:p>
    <w:p w:rsidR="00991FC5" w:rsidRPr="000F0A54" w:rsidRDefault="00991FC5" w:rsidP="00991FC5">
      <w:pPr>
        <w:pStyle w:val="Heading3"/>
      </w:pPr>
      <w:r w:rsidRPr="000F0A54">
        <w:t>Impacts and Mitigation Measures</w:t>
      </w:r>
    </w:p>
    <w:p w:rsidR="00991FC5" w:rsidRPr="000F0A54" w:rsidRDefault="00991FC5" w:rsidP="00991FC5">
      <w:pPr>
        <w:pStyle w:val="Heading4"/>
      </w:pPr>
      <w:r>
        <w:t>Impact 3.13-5</w:t>
      </w:r>
      <w:r w:rsidRPr="000F0A54">
        <w:t>: The project would be served by a landfill for solid waste disposal needs and will require compliance with various laws and regulations (Less than Significant)</w:t>
      </w:r>
    </w:p>
    <w:p w:rsidR="00991FC5" w:rsidRDefault="00991FC5" w:rsidP="00991FC5">
      <w:r w:rsidRPr="00837C7D">
        <w:t>Development under the 2013 General Plan will generate a population increase within the entire Cotati Planning Area of approximately 5,2</w:t>
      </w:r>
      <w:r>
        <w:t>43</w:t>
      </w:r>
      <w:r w:rsidRPr="00837C7D">
        <w:t xml:space="preserve"> persons and an increase in employment of approximately 8,819 jobs upon general plan buildout. </w:t>
      </w:r>
    </w:p>
    <w:p w:rsidR="00991FC5" w:rsidRDefault="00991FC5" w:rsidP="00991FC5">
      <w:pPr>
        <w:rPr>
          <w:highlight w:val="yellow"/>
        </w:rPr>
      </w:pPr>
      <w:r>
        <w:lastRenderedPageBreak/>
        <w:t xml:space="preserve">As described above, the SCWMA has achieved a </w:t>
      </w:r>
      <w:r w:rsidRPr="00AC37C0">
        <w:t>disposal rate of 3.9 PPD per resident and 10.6 PPD per employee in 2010.</w:t>
      </w:r>
      <w:r>
        <w:t xml:space="preserve">  Assuming these disposal rates remain constant throughout the life of the General Plan, </w:t>
      </w:r>
      <w:r w:rsidRPr="00837C7D">
        <w:t>the new growth under 2013 General Plan buildout would result in an increase of approximately 113,</w:t>
      </w:r>
      <w:r>
        <w:t>928</w:t>
      </w:r>
      <w:r w:rsidRPr="00837C7D">
        <w:t xml:space="preserve"> pounds per day of solid waste (5,202 x 3.9) + (8,819 x 10.6), which equals 56.9</w:t>
      </w:r>
      <w:r>
        <w:t>6</w:t>
      </w:r>
      <w:r w:rsidRPr="00837C7D">
        <w:t xml:space="preserve"> tons per day or 20,7</w:t>
      </w:r>
      <w:r>
        <w:t>91</w:t>
      </w:r>
      <w:r w:rsidRPr="00837C7D">
        <w:t>.</w:t>
      </w:r>
      <w:r>
        <w:t>9</w:t>
      </w:r>
      <w:r w:rsidRPr="00837C7D">
        <w:t xml:space="preserve"> tons of solid waste per year. </w:t>
      </w:r>
    </w:p>
    <w:p w:rsidR="00991FC5" w:rsidRDefault="00991FC5" w:rsidP="00991FC5">
      <w:r w:rsidRPr="00837C7D">
        <w:t xml:space="preserve">The City’s annual increase in solid waste generation is well within the permitted capacity of the Central Disposal Site serving the City and does not exceed the daily permitted capacity of any of the landfill. The Central Disposal Site has a permitted daily capacity of 2,500 tons.  Its 172-acre waste disposal area has a total permitted capacity of 19,779,250 </w:t>
      </w:r>
      <w:r>
        <w:t>cubic yards</w:t>
      </w:r>
      <w:r w:rsidRPr="00837C7D">
        <w:t xml:space="preserve">, with a remaining capacity of 9,470,629 </w:t>
      </w:r>
      <w:r>
        <w:t>cubic yards</w:t>
      </w:r>
      <w:r w:rsidRPr="00837C7D">
        <w:t xml:space="preserve"> (47.9 percent).</w:t>
      </w:r>
      <w:r w:rsidR="00066864">
        <w:t xml:space="preserve"> </w:t>
      </w:r>
      <w:r w:rsidR="00066864" w:rsidRPr="00BC7BAC">
        <w:rPr>
          <w:rFonts w:cs="CenturyGothic"/>
        </w:rPr>
        <w:t>In 2012, the Sonoma County Central Disposal Site averaged approximately 1,250 tons per day of materials received, which is significantly below the facility’s permitted capacity of 2,500 tons per day. The facility has enough capacity to serve the City through the general plan horizon.</w:t>
      </w:r>
    </w:p>
    <w:p w:rsidR="00991FC5" w:rsidRPr="009327AB" w:rsidRDefault="00991FC5" w:rsidP="00991FC5">
      <w:r>
        <w:t xml:space="preserve">Sonoma County and the cities within the SCWMA recently entered into a Master Operations Agreement (MOA) with Republic Services, a private waste services company, to develop and implement a long-term strategy for solid waste disposal and recycling.  Under the MOA, the County would retain ownership of the Central Disposal Site and enter into a long-term operations contract with Republic Services.  The County and the cities within Sonoma County would commit their waste flow to Republic Services for a 20-year term.  In exchange for the 20-year waste flow commitment, each city receives indemnification in perpetuity against liabilities and costs associated with facility closures and remediation.  The MOA provides a funding mechanism to implement future facility expansions at the Central Disposal Site in order to meet future waste generation demand.  </w:t>
      </w:r>
    </w:p>
    <w:p w:rsidR="00991FC5" w:rsidRPr="005105AD" w:rsidRDefault="00991FC5" w:rsidP="00991FC5">
      <w:r w:rsidRPr="005105AD">
        <w:t xml:space="preserve">While there is adequate permitted landfill capacity to accommodate future growth, the 2013 General Plan includes policies and actions to further reduce the project’s impact on solid waste services, as identified below. The 2013 General Plan would not exceed the permitted capacity of the landfill serving the City and the 2013 General Plan will comply with regulations related to solid waste. Therefore, impacts to solid waste are </w:t>
      </w:r>
      <w:r w:rsidRPr="005105AD">
        <w:rPr>
          <w:b/>
        </w:rPr>
        <w:t>less than significant</w:t>
      </w:r>
      <w:r w:rsidRPr="005105AD">
        <w:t xml:space="preserve"> and no mitigation is necessary.</w:t>
      </w:r>
    </w:p>
    <w:p w:rsidR="00991FC5" w:rsidRPr="005105AD" w:rsidRDefault="00991FC5" w:rsidP="00991FC5">
      <w:r w:rsidRPr="005105AD">
        <w:rPr>
          <w:rFonts w:ascii="Cambria" w:hAnsi="Cambria"/>
          <w:b/>
          <w:smallCaps/>
          <w:sz w:val="24"/>
        </w:rPr>
        <w:t>2013 General Plan Policies and Actions that Mitigate Potential Impacts</w:t>
      </w:r>
    </w:p>
    <w:p w:rsidR="00991FC5" w:rsidRPr="005105AD" w:rsidRDefault="00991FC5" w:rsidP="00991FC5">
      <w:pPr>
        <w:rPr>
          <w:i/>
          <w:u w:val="single"/>
        </w:rPr>
      </w:pPr>
      <w:r w:rsidRPr="005105AD">
        <w:rPr>
          <w:i/>
          <w:u w:val="single"/>
        </w:rPr>
        <w:t>Policies</w:t>
      </w:r>
    </w:p>
    <w:p w:rsidR="00991FC5" w:rsidRPr="005105AD" w:rsidRDefault="00991FC5" w:rsidP="00991FC5">
      <w:pPr>
        <w:pStyle w:val="Policy"/>
        <w:ind w:left="0"/>
        <w:rPr>
          <w:i/>
        </w:rPr>
      </w:pPr>
      <w:r w:rsidRPr="005105AD">
        <w:rPr>
          <w:b/>
          <w:i/>
        </w:rPr>
        <w:t>Policy CSF 3.1:</w:t>
      </w:r>
      <w:r w:rsidRPr="005105AD">
        <w:rPr>
          <w:b/>
          <w:i/>
        </w:rPr>
        <w:tab/>
      </w:r>
      <w:r w:rsidRPr="005105AD">
        <w:rPr>
          <w:i/>
        </w:rPr>
        <w:t xml:space="preserve">Provide adequate waste disposal, recycling and reuse services, including programs that improve public access to solid waste collection and recycling facilities. </w:t>
      </w:r>
    </w:p>
    <w:p w:rsidR="00991FC5" w:rsidRPr="005105AD" w:rsidRDefault="00991FC5" w:rsidP="00991FC5">
      <w:pPr>
        <w:pStyle w:val="Policy"/>
        <w:ind w:left="0"/>
        <w:rPr>
          <w:i/>
        </w:rPr>
      </w:pPr>
      <w:r w:rsidRPr="005105AD">
        <w:rPr>
          <w:b/>
          <w:i/>
        </w:rPr>
        <w:t>Policy CSF 3.2:</w:t>
      </w:r>
      <w:r w:rsidRPr="005105AD">
        <w:rPr>
          <w:i/>
        </w:rPr>
        <w:tab/>
        <w:t xml:space="preserve">Reduce solid waste and increase reduction, reuse, and/or recycling, in compliance with the Countywide Integrated Waste Management Plan.  </w:t>
      </w:r>
    </w:p>
    <w:p w:rsidR="00991FC5" w:rsidRPr="005105AD" w:rsidRDefault="00991FC5" w:rsidP="00991FC5">
      <w:pPr>
        <w:pStyle w:val="Policy"/>
        <w:ind w:left="0"/>
        <w:rPr>
          <w:i/>
        </w:rPr>
      </w:pPr>
      <w:r w:rsidRPr="005105AD">
        <w:rPr>
          <w:b/>
          <w:i/>
        </w:rPr>
        <w:t>Policy CSF 3.3:</w:t>
      </w:r>
      <w:r w:rsidRPr="005105AD">
        <w:rPr>
          <w:i/>
        </w:rPr>
        <w:tab/>
        <w:t xml:space="preserve">Work with the Sonoma County Waste Management Agency to identify environmental and economical means to meet the need for solid waste disposal.  </w:t>
      </w:r>
    </w:p>
    <w:p w:rsidR="00991FC5" w:rsidRPr="005105AD" w:rsidRDefault="00991FC5" w:rsidP="00991FC5">
      <w:pPr>
        <w:pStyle w:val="Policy"/>
        <w:ind w:left="0"/>
        <w:rPr>
          <w:i/>
        </w:rPr>
      </w:pPr>
      <w:r w:rsidRPr="005105AD">
        <w:rPr>
          <w:b/>
          <w:i/>
        </w:rPr>
        <w:lastRenderedPageBreak/>
        <w:t>Policy CSF 3.4:</w:t>
      </w:r>
      <w:r w:rsidRPr="005105AD">
        <w:rPr>
          <w:i/>
        </w:rPr>
        <w:tab/>
        <w:t xml:space="preserve">Require and/or support the operation of resource recovery facilities by the City waste hauler and the disposal site operators.  </w:t>
      </w:r>
    </w:p>
    <w:p w:rsidR="00991FC5" w:rsidRPr="005105AD" w:rsidRDefault="00991FC5" w:rsidP="00991FC5">
      <w:pPr>
        <w:pStyle w:val="Policy"/>
        <w:ind w:left="0"/>
        <w:rPr>
          <w:i/>
        </w:rPr>
      </w:pPr>
      <w:r w:rsidRPr="005105AD">
        <w:rPr>
          <w:b/>
          <w:i/>
        </w:rPr>
        <w:t>Policy CSF 3.5:</w:t>
      </w:r>
      <w:r w:rsidRPr="005105AD">
        <w:rPr>
          <w:i/>
        </w:rPr>
        <w:tab/>
        <w:t>City operations shall use recycled materials whenever feasible.</w:t>
      </w:r>
    </w:p>
    <w:p w:rsidR="00991FC5" w:rsidRPr="005105AD" w:rsidRDefault="00991FC5" w:rsidP="00991FC5">
      <w:pPr>
        <w:pStyle w:val="Policy"/>
        <w:ind w:left="0"/>
        <w:rPr>
          <w:i/>
        </w:rPr>
      </w:pPr>
      <w:r w:rsidRPr="005105AD">
        <w:rPr>
          <w:b/>
          <w:i/>
        </w:rPr>
        <w:t>Policy CSF 3.6:</w:t>
      </w:r>
      <w:r w:rsidRPr="005105AD">
        <w:rPr>
          <w:i/>
        </w:rPr>
        <w:tab/>
        <w:t xml:space="preserve">Support programs that re-use recycled materials and solid waste, such as the use of biomass waste for energy production.  </w:t>
      </w:r>
    </w:p>
    <w:p w:rsidR="00991FC5" w:rsidRPr="005105AD" w:rsidRDefault="00991FC5" w:rsidP="00991FC5">
      <w:pPr>
        <w:pStyle w:val="Policy"/>
        <w:ind w:left="0"/>
        <w:rPr>
          <w:i/>
        </w:rPr>
      </w:pPr>
      <w:r w:rsidRPr="005105AD">
        <w:rPr>
          <w:b/>
          <w:i/>
        </w:rPr>
        <w:t>Policy CSF 3.7:</w:t>
      </w:r>
      <w:r w:rsidRPr="005105AD">
        <w:rPr>
          <w:i/>
        </w:rPr>
        <w:tab/>
        <w:t xml:space="preserve">Continue to coordinate with Sonoma County to require all businesses and residents to comply with the local and State requirements regarding the proper disposal of toxic and hazardous materials and waste.  </w:t>
      </w:r>
    </w:p>
    <w:p w:rsidR="00991FC5" w:rsidRPr="005105AD" w:rsidRDefault="00991FC5" w:rsidP="00991FC5">
      <w:pPr>
        <w:pStyle w:val="Policy"/>
        <w:ind w:left="0"/>
        <w:rPr>
          <w:i/>
        </w:rPr>
      </w:pPr>
      <w:r w:rsidRPr="005105AD">
        <w:rPr>
          <w:b/>
          <w:i/>
        </w:rPr>
        <w:t>Policy CSF 3.8:</w:t>
      </w:r>
      <w:r w:rsidRPr="005105AD">
        <w:rPr>
          <w:i/>
        </w:rPr>
        <w:tab/>
        <w:t xml:space="preserve">Require new or significantly remodeled residential and all non-residential development to incorporate sufficient, attractive, and convenient interior and exterior storage areas for recyclables and green waste.  </w:t>
      </w:r>
    </w:p>
    <w:p w:rsidR="00991FC5" w:rsidRPr="005105AD" w:rsidRDefault="00991FC5" w:rsidP="00991FC5">
      <w:pPr>
        <w:rPr>
          <w:i/>
          <w:u w:val="single"/>
        </w:rPr>
      </w:pPr>
      <w:r w:rsidRPr="005105AD">
        <w:rPr>
          <w:i/>
          <w:u w:val="single"/>
        </w:rPr>
        <w:t>Actions</w:t>
      </w:r>
    </w:p>
    <w:p w:rsidR="00991FC5" w:rsidRPr="00B901A3" w:rsidRDefault="00991FC5" w:rsidP="00991FC5">
      <w:pPr>
        <w:pStyle w:val="Action"/>
        <w:ind w:left="0"/>
      </w:pPr>
      <w:r w:rsidRPr="00B901A3">
        <w:rPr>
          <w:u w:val="single"/>
        </w:rPr>
        <w:t>Action CSF 3a</w:t>
      </w:r>
      <w:r w:rsidRPr="00B901A3">
        <w:t>:</w:t>
      </w:r>
      <w:r w:rsidRPr="00B901A3">
        <w:tab/>
        <w:t xml:space="preserve">Work with the refuse collection contractor and the Sonoma County Waste Management Agency to continue and expand an effective recycling and </w:t>
      </w:r>
      <w:r w:rsidRPr="00B901A3">
        <w:rPr>
          <w:bCs w:val="0"/>
        </w:rPr>
        <w:t>composting</w:t>
      </w:r>
      <w:r w:rsidRPr="00B901A3">
        <w:t xml:space="preserve"> program of glass, paper, aluminum, plastic, and other recyclable materials, as well as compostable materials including yard debris and vegetative food scraps.</w:t>
      </w:r>
    </w:p>
    <w:p w:rsidR="00991FC5" w:rsidRPr="00571E46" w:rsidRDefault="00991FC5" w:rsidP="00991FC5">
      <w:pPr>
        <w:pStyle w:val="Policy"/>
        <w:tabs>
          <w:tab w:val="clear" w:pos="720"/>
          <w:tab w:val="left" w:pos="1440"/>
        </w:tabs>
        <w:ind w:left="0"/>
        <w:rPr>
          <w:i/>
        </w:rPr>
      </w:pPr>
      <w:r w:rsidRPr="00571E46">
        <w:rPr>
          <w:i/>
          <w:u w:val="single"/>
        </w:rPr>
        <w:t xml:space="preserve">Action </w:t>
      </w:r>
      <w:r>
        <w:rPr>
          <w:i/>
          <w:u w:val="single"/>
        </w:rPr>
        <w:t>CSF</w:t>
      </w:r>
      <w:r w:rsidRPr="00571E46">
        <w:rPr>
          <w:i/>
          <w:u w:val="single"/>
        </w:rPr>
        <w:t xml:space="preserve"> 3b</w:t>
      </w:r>
      <w:r w:rsidRPr="00571E46">
        <w:rPr>
          <w:i/>
        </w:rPr>
        <w:t>:</w:t>
      </w:r>
      <w:r w:rsidRPr="00571E46">
        <w:tab/>
      </w:r>
      <w:r w:rsidRPr="00571E46">
        <w:rPr>
          <w:i/>
        </w:rPr>
        <w:t>Require the City's refuse collection contractor to be responsible for periodic press releases which remind residents about the recycling and composting program.</w:t>
      </w:r>
    </w:p>
    <w:p w:rsidR="00991FC5" w:rsidRPr="00571E46" w:rsidRDefault="00991FC5" w:rsidP="00991FC5">
      <w:pPr>
        <w:pStyle w:val="Policy"/>
        <w:tabs>
          <w:tab w:val="clear" w:pos="720"/>
          <w:tab w:val="left" w:pos="1440"/>
        </w:tabs>
        <w:ind w:left="0"/>
        <w:rPr>
          <w:i/>
        </w:rPr>
      </w:pPr>
      <w:r w:rsidRPr="00571E46">
        <w:rPr>
          <w:i/>
          <w:u w:val="single"/>
        </w:rPr>
        <w:t xml:space="preserve">Action </w:t>
      </w:r>
      <w:r>
        <w:rPr>
          <w:i/>
          <w:u w:val="single"/>
        </w:rPr>
        <w:t>CSF</w:t>
      </w:r>
      <w:r w:rsidRPr="00571E46">
        <w:rPr>
          <w:i/>
          <w:u w:val="single"/>
        </w:rPr>
        <w:t xml:space="preserve"> 3c</w:t>
      </w:r>
      <w:r w:rsidRPr="00571E46">
        <w:rPr>
          <w:i/>
        </w:rPr>
        <w:t>:</w:t>
      </w:r>
      <w:r w:rsidRPr="00571E46">
        <w:tab/>
      </w:r>
      <w:r w:rsidRPr="00571E46">
        <w:rPr>
          <w:i/>
        </w:rPr>
        <w:t xml:space="preserve">Work with the </w:t>
      </w:r>
      <w:r>
        <w:rPr>
          <w:i/>
        </w:rPr>
        <w:t xml:space="preserve">City’s </w:t>
      </w:r>
      <w:r w:rsidRPr="00571E46">
        <w:rPr>
          <w:i/>
        </w:rPr>
        <w:t>refuse collection contractor</w:t>
      </w:r>
      <w:r>
        <w:rPr>
          <w:i/>
        </w:rPr>
        <w:t xml:space="preserve"> and Sonoma County Waste Management Agency</w:t>
      </w:r>
      <w:r w:rsidRPr="00571E46">
        <w:rPr>
          <w:i/>
        </w:rPr>
        <w:t xml:space="preserve"> to provide a higher level of recycling and composting services for multiple family projects.</w:t>
      </w:r>
    </w:p>
    <w:p w:rsidR="00991FC5" w:rsidRPr="00571E46" w:rsidRDefault="00991FC5" w:rsidP="00991FC5">
      <w:pPr>
        <w:pStyle w:val="Policy"/>
        <w:tabs>
          <w:tab w:val="clear" w:pos="720"/>
          <w:tab w:val="left" w:pos="1440"/>
        </w:tabs>
        <w:ind w:left="0"/>
        <w:rPr>
          <w:i/>
        </w:rPr>
      </w:pPr>
      <w:r w:rsidRPr="00571E46">
        <w:rPr>
          <w:i/>
          <w:u w:val="single"/>
        </w:rPr>
        <w:t xml:space="preserve">Action </w:t>
      </w:r>
      <w:r>
        <w:rPr>
          <w:i/>
          <w:u w:val="single"/>
        </w:rPr>
        <w:t>CSF</w:t>
      </w:r>
      <w:r w:rsidRPr="00571E46">
        <w:rPr>
          <w:i/>
          <w:u w:val="single"/>
        </w:rPr>
        <w:t xml:space="preserve"> 3d</w:t>
      </w:r>
      <w:r w:rsidRPr="00571E46">
        <w:rPr>
          <w:i/>
        </w:rPr>
        <w:t>:</w:t>
      </w:r>
      <w:r w:rsidRPr="00571E46">
        <w:tab/>
      </w:r>
      <w:r w:rsidRPr="00571E46">
        <w:rPr>
          <w:i/>
        </w:rPr>
        <w:t>Undertake a solid waste disposal and reduction education program in collaboration with the Sonoma County Waste Management Agency. The outreach program shall include information related to the proper disposal and resources for the disposal of household hazardous wastes, including, but not limited to:</w:t>
      </w:r>
    </w:p>
    <w:p w:rsidR="00991FC5" w:rsidRPr="00571E46" w:rsidRDefault="00991FC5" w:rsidP="00991FC5">
      <w:pPr>
        <w:pStyle w:val="Policy"/>
        <w:numPr>
          <w:ilvl w:val="0"/>
          <w:numId w:val="34"/>
        </w:numPr>
        <w:tabs>
          <w:tab w:val="clear" w:pos="720"/>
          <w:tab w:val="left" w:pos="1440"/>
        </w:tabs>
        <w:spacing w:after="120"/>
        <w:ind w:left="720"/>
        <w:rPr>
          <w:i/>
        </w:rPr>
      </w:pPr>
      <w:r w:rsidRPr="00571E46">
        <w:rPr>
          <w:i/>
        </w:rPr>
        <w:t>Motor oil</w:t>
      </w:r>
    </w:p>
    <w:p w:rsidR="00991FC5" w:rsidRPr="00571E46" w:rsidRDefault="00991FC5" w:rsidP="00991FC5">
      <w:pPr>
        <w:pStyle w:val="Policy"/>
        <w:numPr>
          <w:ilvl w:val="0"/>
          <w:numId w:val="34"/>
        </w:numPr>
        <w:tabs>
          <w:tab w:val="clear" w:pos="720"/>
          <w:tab w:val="left" w:pos="1440"/>
        </w:tabs>
        <w:spacing w:after="120"/>
        <w:ind w:left="720"/>
        <w:rPr>
          <w:i/>
        </w:rPr>
      </w:pPr>
      <w:r w:rsidRPr="00571E46">
        <w:rPr>
          <w:i/>
        </w:rPr>
        <w:t>Electronics</w:t>
      </w:r>
    </w:p>
    <w:p w:rsidR="00991FC5" w:rsidRPr="00571E46" w:rsidRDefault="00991FC5" w:rsidP="00991FC5">
      <w:pPr>
        <w:pStyle w:val="Policy"/>
        <w:numPr>
          <w:ilvl w:val="0"/>
          <w:numId w:val="34"/>
        </w:numPr>
        <w:tabs>
          <w:tab w:val="clear" w:pos="720"/>
          <w:tab w:val="left" w:pos="1440"/>
        </w:tabs>
        <w:spacing w:after="120"/>
        <w:ind w:left="720"/>
        <w:rPr>
          <w:i/>
        </w:rPr>
      </w:pPr>
      <w:r w:rsidRPr="00571E46">
        <w:rPr>
          <w:i/>
        </w:rPr>
        <w:t xml:space="preserve">Medications/pharmaceuticals </w:t>
      </w:r>
    </w:p>
    <w:p w:rsidR="00991FC5" w:rsidRPr="00571E46" w:rsidRDefault="00991FC5" w:rsidP="00991FC5">
      <w:pPr>
        <w:pStyle w:val="Policy"/>
        <w:numPr>
          <w:ilvl w:val="0"/>
          <w:numId w:val="34"/>
        </w:numPr>
        <w:tabs>
          <w:tab w:val="clear" w:pos="720"/>
          <w:tab w:val="left" w:pos="1440"/>
        </w:tabs>
        <w:spacing w:after="120"/>
        <w:ind w:left="720"/>
        <w:rPr>
          <w:i/>
        </w:rPr>
      </w:pPr>
      <w:r w:rsidRPr="00571E46">
        <w:rPr>
          <w:i/>
        </w:rPr>
        <w:t>Batteries</w:t>
      </w:r>
    </w:p>
    <w:p w:rsidR="00991FC5" w:rsidRPr="00571E46" w:rsidRDefault="00991FC5" w:rsidP="00991FC5">
      <w:pPr>
        <w:pStyle w:val="Policy"/>
        <w:numPr>
          <w:ilvl w:val="0"/>
          <w:numId w:val="34"/>
        </w:numPr>
        <w:tabs>
          <w:tab w:val="clear" w:pos="720"/>
          <w:tab w:val="left" w:pos="1440"/>
        </w:tabs>
        <w:spacing w:after="120"/>
        <w:ind w:left="720"/>
        <w:rPr>
          <w:i/>
        </w:rPr>
      </w:pPr>
      <w:r w:rsidRPr="00571E46">
        <w:rPr>
          <w:i/>
        </w:rPr>
        <w:t>Paint</w:t>
      </w:r>
    </w:p>
    <w:p w:rsidR="00991FC5" w:rsidRPr="00571E46" w:rsidRDefault="00991FC5" w:rsidP="00991FC5">
      <w:pPr>
        <w:pStyle w:val="Policy"/>
        <w:numPr>
          <w:ilvl w:val="0"/>
          <w:numId w:val="34"/>
        </w:numPr>
        <w:tabs>
          <w:tab w:val="clear" w:pos="720"/>
          <w:tab w:val="left" w:pos="1440"/>
        </w:tabs>
        <w:spacing w:after="120"/>
        <w:ind w:left="720"/>
        <w:rPr>
          <w:i/>
        </w:rPr>
      </w:pPr>
      <w:r w:rsidRPr="00571E46">
        <w:rPr>
          <w:i/>
        </w:rPr>
        <w:t>Syringes/needles</w:t>
      </w:r>
    </w:p>
    <w:p w:rsidR="00991FC5" w:rsidRPr="00571E46" w:rsidRDefault="00991FC5" w:rsidP="00991FC5">
      <w:pPr>
        <w:pStyle w:val="Policy"/>
        <w:numPr>
          <w:ilvl w:val="0"/>
          <w:numId w:val="34"/>
        </w:numPr>
        <w:tabs>
          <w:tab w:val="clear" w:pos="720"/>
          <w:tab w:val="left" w:pos="1440"/>
        </w:tabs>
        <w:spacing w:after="120"/>
        <w:ind w:left="720"/>
        <w:rPr>
          <w:i/>
        </w:rPr>
      </w:pPr>
      <w:r w:rsidRPr="00571E46">
        <w:rPr>
          <w:i/>
        </w:rPr>
        <w:t>Treated Wood</w:t>
      </w:r>
    </w:p>
    <w:p w:rsidR="00991FC5" w:rsidRPr="00571E46" w:rsidRDefault="00991FC5" w:rsidP="00991FC5">
      <w:pPr>
        <w:pStyle w:val="Policy"/>
        <w:numPr>
          <w:ilvl w:val="0"/>
          <w:numId w:val="34"/>
        </w:numPr>
        <w:tabs>
          <w:tab w:val="clear" w:pos="720"/>
          <w:tab w:val="left" w:pos="1440"/>
        </w:tabs>
        <w:ind w:left="720"/>
        <w:rPr>
          <w:i/>
        </w:rPr>
      </w:pPr>
      <w:r w:rsidRPr="00571E46">
        <w:rPr>
          <w:i/>
        </w:rPr>
        <w:t xml:space="preserve">Fluorescent lamps/CFLs </w:t>
      </w:r>
    </w:p>
    <w:p w:rsidR="00991FC5" w:rsidRDefault="00991FC5" w:rsidP="00991FC5">
      <w:pPr>
        <w:pStyle w:val="Policy"/>
        <w:tabs>
          <w:tab w:val="clear" w:pos="720"/>
          <w:tab w:val="left" w:pos="1440"/>
        </w:tabs>
        <w:ind w:left="0"/>
        <w:rPr>
          <w:bCs w:val="0"/>
          <w:i/>
        </w:rPr>
      </w:pPr>
      <w:r w:rsidRPr="00571E46">
        <w:rPr>
          <w:i/>
          <w:u w:val="single"/>
        </w:rPr>
        <w:lastRenderedPageBreak/>
        <w:t xml:space="preserve">Action </w:t>
      </w:r>
      <w:r>
        <w:rPr>
          <w:i/>
          <w:u w:val="single"/>
        </w:rPr>
        <w:t>CSF</w:t>
      </w:r>
      <w:r w:rsidRPr="00571E46">
        <w:rPr>
          <w:i/>
          <w:u w:val="single"/>
        </w:rPr>
        <w:t xml:space="preserve"> 3e</w:t>
      </w:r>
      <w:r w:rsidRPr="00571E46">
        <w:rPr>
          <w:i/>
        </w:rPr>
        <w:t>:</w:t>
      </w:r>
      <w:r w:rsidRPr="00571E46">
        <w:tab/>
      </w:r>
      <w:r w:rsidRPr="00571E46">
        <w:rPr>
          <w:bCs w:val="0"/>
          <w:i/>
        </w:rPr>
        <w:t xml:space="preserve">Amend or revise the City’s procurement process to favor the purchase of </w:t>
      </w:r>
      <w:r w:rsidRPr="00B901A3">
        <w:rPr>
          <w:i/>
        </w:rPr>
        <w:t>recycled</w:t>
      </w:r>
      <w:r w:rsidRPr="00571E46">
        <w:rPr>
          <w:bCs w:val="0"/>
          <w:i/>
        </w:rPr>
        <w:t xml:space="preserve"> products and/or materials that contain recycled materials.</w:t>
      </w:r>
    </w:p>
    <w:p w:rsidR="005D7E08" w:rsidRDefault="00991FC5" w:rsidP="00FC2144">
      <w:pPr>
        <w:jc w:val="left"/>
      </w:pPr>
      <w:r w:rsidRPr="004435C8">
        <w:t>Insert Figure 3.13-1- Water Infrastructure</w:t>
      </w:r>
    </w:p>
    <w:p w:rsidR="00991FC5" w:rsidRDefault="00991FC5" w:rsidP="00991FC5">
      <w:pPr>
        <w:jc w:val="left"/>
      </w:pPr>
      <w:r>
        <w:br w:type="page"/>
      </w: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center"/>
        <w:rPr>
          <w:i/>
        </w:rPr>
      </w:pPr>
      <w:r w:rsidRPr="004435C8">
        <w:rPr>
          <w:i/>
        </w:rPr>
        <w:t>This page left intentionally blank</w:t>
      </w:r>
    </w:p>
    <w:p w:rsidR="00991FC5" w:rsidRDefault="00991FC5" w:rsidP="00991FC5">
      <w:pPr>
        <w:jc w:val="left"/>
      </w:pPr>
      <w:r>
        <w:rPr>
          <w:i/>
        </w:rPr>
        <w:br w:type="page"/>
      </w:r>
      <w:r>
        <w:lastRenderedPageBreak/>
        <w:t>Insert Figure 3.13-2</w:t>
      </w:r>
    </w:p>
    <w:p w:rsidR="00991FC5" w:rsidRDefault="00991FC5" w:rsidP="00991FC5">
      <w:pPr>
        <w:jc w:val="left"/>
      </w:pPr>
      <w:r>
        <w:br w:type="page"/>
      </w: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991FC5" w:rsidRDefault="00991FC5" w:rsidP="00991FC5">
      <w:pPr>
        <w:jc w:val="left"/>
      </w:pPr>
    </w:p>
    <w:p w:rsidR="005D7E08" w:rsidRPr="00FC2144" w:rsidRDefault="00991FC5" w:rsidP="00FC2144">
      <w:pPr>
        <w:jc w:val="center"/>
        <w:rPr>
          <w:i/>
        </w:rPr>
      </w:pPr>
      <w:r w:rsidRPr="004435C8">
        <w:rPr>
          <w:i/>
        </w:rPr>
        <w:t>This page left intentionally blank</w:t>
      </w:r>
    </w:p>
    <w:sectPr w:rsidR="005D7E08" w:rsidRPr="00FC2144" w:rsidSect="00991FC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94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64" w:rsidRDefault="00066864" w:rsidP="00991FC5">
      <w:pPr>
        <w:spacing w:after="0" w:line="240" w:lineRule="auto"/>
      </w:pPr>
      <w:r>
        <w:separator/>
      </w:r>
    </w:p>
  </w:endnote>
  <w:endnote w:type="continuationSeparator" w:id="0">
    <w:p w:rsidR="00066864" w:rsidRDefault="00066864" w:rsidP="00991FC5">
      <w:pPr>
        <w:spacing w:after="0" w:line="240" w:lineRule="auto"/>
      </w:pPr>
      <w:r>
        <w:continuationSeparator/>
      </w:r>
    </w:p>
  </w:endnote>
  <w:endnote w:type="continuationNotice" w:id="1">
    <w:p w:rsidR="00066864" w:rsidRDefault="00066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Omega">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FranklinGothic-Book">
    <w:altName w:val="Franklin Gothic Book"/>
    <w:panose1 w:val="00000000000000000000"/>
    <w:charset w:val="4D"/>
    <w:family w:val="roman"/>
    <w:notTrueType/>
    <w:pitch w:val="default"/>
    <w:sig w:usb0="00000003" w:usb1="00000000" w:usb2="00000000" w:usb3="00000000" w:csb0="00000001" w:csb1="00000000"/>
  </w:font>
  <w:font w:name="PalatinoLinotype">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CenturyGothic">
    <w:altName w:val="Century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066864">
      <w:trPr>
        <w:trHeight w:val="360"/>
      </w:trPr>
      <w:tc>
        <w:tcPr>
          <w:tcW w:w="772" w:type="pct"/>
          <w:shd w:val="clear" w:color="auto" w:fill="D9D9D9"/>
          <w:vAlign w:val="center"/>
        </w:tcPr>
        <w:p w:rsidR="00066864" w:rsidRPr="00DE2F6A" w:rsidRDefault="00066864" w:rsidP="00991FC5">
          <w:pPr>
            <w:pStyle w:val="Footer"/>
            <w:jc w:val="center"/>
          </w:pPr>
          <w:r>
            <w:rPr>
              <w:rFonts w:ascii="Cambria" w:hAnsi="Cambria"/>
            </w:rPr>
            <w:t>3.13</w:t>
          </w:r>
          <w:r w:rsidRPr="003D19C2">
            <w:rPr>
              <w:rFonts w:ascii="Cambria" w:hAnsi="Cambria"/>
            </w:rPr>
            <w:t>-</w:t>
          </w:r>
          <w:r w:rsidR="0054321E">
            <w:fldChar w:fldCharType="begin"/>
          </w:r>
          <w:r w:rsidR="0054321E">
            <w:instrText xml:space="preserve"> PAGE   \* MERGEFORMAT </w:instrText>
          </w:r>
          <w:r w:rsidR="0054321E">
            <w:fldChar w:fldCharType="separate"/>
          </w:r>
          <w:r w:rsidR="0054321E" w:rsidRPr="0054321E">
            <w:rPr>
              <w:rFonts w:ascii="Cambria" w:hAnsi="Cambria"/>
              <w:noProof/>
            </w:rPr>
            <w:t>48</w:t>
          </w:r>
          <w:r w:rsidR="0054321E">
            <w:rPr>
              <w:rFonts w:ascii="Cambria" w:hAnsi="Cambria"/>
              <w:noProof/>
            </w:rPr>
            <w:fldChar w:fldCharType="end"/>
          </w:r>
        </w:p>
      </w:tc>
      <w:tc>
        <w:tcPr>
          <w:tcW w:w="4228" w:type="pct"/>
          <w:vAlign w:val="center"/>
        </w:tcPr>
        <w:p w:rsidR="00066864" w:rsidRDefault="00066864" w:rsidP="00991FC5">
          <w:pPr>
            <w:pStyle w:val="Footer"/>
            <w:jc w:val="left"/>
          </w:pPr>
          <w:r>
            <w:rPr>
              <w:rFonts w:ascii="Cambria" w:hAnsi="Cambria"/>
            </w:rPr>
            <w:t>Draft Environmental Impact Report – 2013 Cotati General Plan General Plan</w:t>
          </w:r>
        </w:p>
      </w:tc>
    </w:tr>
  </w:tbl>
  <w:p w:rsidR="00066864" w:rsidRDefault="00066864" w:rsidP="00991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066864">
      <w:trPr>
        <w:trHeight w:val="360"/>
      </w:trPr>
      <w:tc>
        <w:tcPr>
          <w:tcW w:w="4228" w:type="pct"/>
          <w:vAlign w:val="center"/>
        </w:tcPr>
        <w:p w:rsidR="00066864" w:rsidRDefault="00066864" w:rsidP="00991FC5">
          <w:pPr>
            <w:pStyle w:val="Footer"/>
            <w:jc w:val="right"/>
          </w:pPr>
          <w:r>
            <w:rPr>
              <w:rFonts w:ascii="Cambria" w:hAnsi="Cambria"/>
            </w:rPr>
            <w:t>Draft Environmental Impact Report – 2013 Cotati General Plan</w:t>
          </w:r>
        </w:p>
      </w:tc>
      <w:tc>
        <w:tcPr>
          <w:tcW w:w="772" w:type="pct"/>
          <w:shd w:val="clear" w:color="auto" w:fill="D9D9D9"/>
          <w:vAlign w:val="center"/>
        </w:tcPr>
        <w:p w:rsidR="00066864" w:rsidRPr="003D19C2" w:rsidRDefault="00066864" w:rsidP="00991FC5">
          <w:pPr>
            <w:pStyle w:val="Footer"/>
            <w:jc w:val="center"/>
            <w:rPr>
              <w:rFonts w:ascii="Cambria" w:hAnsi="Cambria"/>
            </w:rPr>
          </w:pPr>
          <w:r>
            <w:rPr>
              <w:rFonts w:ascii="Cambria" w:hAnsi="Cambria"/>
            </w:rPr>
            <w:t>3.13</w:t>
          </w:r>
          <w:r w:rsidRPr="003D19C2">
            <w:rPr>
              <w:rFonts w:ascii="Cambria" w:hAnsi="Cambria"/>
            </w:rPr>
            <w:t>-</w:t>
          </w:r>
          <w:r w:rsidR="0054321E">
            <w:fldChar w:fldCharType="begin"/>
          </w:r>
          <w:r w:rsidR="0054321E">
            <w:instrText xml:space="preserve"> PAGE    \* MERGEFORMAT </w:instrText>
          </w:r>
          <w:r w:rsidR="0054321E">
            <w:fldChar w:fldCharType="separate"/>
          </w:r>
          <w:r w:rsidR="0054321E" w:rsidRPr="0054321E">
            <w:rPr>
              <w:rFonts w:ascii="Cambria" w:hAnsi="Cambria"/>
              <w:noProof/>
            </w:rPr>
            <w:t>47</w:t>
          </w:r>
          <w:r w:rsidR="0054321E">
            <w:rPr>
              <w:rFonts w:ascii="Cambria" w:hAnsi="Cambria"/>
              <w:noProof/>
            </w:rPr>
            <w:fldChar w:fldCharType="end"/>
          </w:r>
        </w:p>
      </w:tc>
    </w:tr>
  </w:tbl>
  <w:p w:rsidR="00066864" w:rsidRDefault="00066864" w:rsidP="00991F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066864">
      <w:trPr>
        <w:trHeight w:val="360"/>
      </w:trPr>
      <w:tc>
        <w:tcPr>
          <w:tcW w:w="4228" w:type="pct"/>
          <w:vAlign w:val="center"/>
        </w:tcPr>
        <w:p w:rsidR="00066864" w:rsidRDefault="00066864" w:rsidP="00991FC5">
          <w:pPr>
            <w:pStyle w:val="Footer"/>
            <w:jc w:val="right"/>
          </w:pPr>
          <w:r>
            <w:rPr>
              <w:rFonts w:ascii="Cambria" w:hAnsi="Cambria"/>
            </w:rPr>
            <w:t>Draft Environmental Impact Report – 2013 Cotati General Plan</w:t>
          </w:r>
        </w:p>
      </w:tc>
      <w:tc>
        <w:tcPr>
          <w:tcW w:w="772" w:type="pct"/>
          <w:shd w:val="clear" w:color="auto" w:fill="D9D9D9"/>
          <w:vAlign w:val="center"/>
        </w:tcPr>
        <w:p w:rsidR="00066864" w:rsidRPr="003D19C2" w:rsidRDefault="00066864" w:rsidP="00991FC5">
          <w:pPr>
            <w:pStyle w:val="Footer"/>
            <w:jc w:val="center"/>
            <w:rPr>
              <w:rFonts w:ascii="Cambria" w:hAnsi="Cambria"/>
            </w:rPr>
          </w:pPr>
          <w:r>
            <w:rPr>
              <w:rFonts w:ascii="Cambria" w:hAnsi="Cambria"/>
            </w:rPr>
            <w:t>3.13</w:t>
          </w:r>
          <w:r w:rsidRPr="003D19C2">
            <w:rPr>
              <w:rFonts w:ascii="Cambria" w:hAnsi="Cambria"/>
            </w:rPr>
            <w:t>-</w:t>
          </w:r>
          <w:r w:rsidR="0054321E">
            <w:fldChar w:fldCharType="begin"/>
          </w:r>
          <w:r w:rsidR="0054321E">
            <w:instrText xml:space="preserve"> PAGE    \* MERGEFORMAT </w:instrText>
          </w:r>
          <w:r w:rsidR="0054321E">
            <w:fldChar w:fldCharType="separate"/>
          </w:r>
          <w:r w:rsidR="0054321E" w:rsidRPr="0054321E">
            <w:rPr>
              <w:rFonts w:ascii="Cambria" w:hAnsi="Cambria"/>
              <w:noProof/>
            </w:rPr>
            <w:t>1</w:t>
          </w:r>
          <w:r w:rsidR="0054321E">
            <w:rPr>
              <w:rFonts w:ascii="Cambria" w:hAnsi="Cambria"/>
              <w:noProof/>
            </w:rPr>
            <w:fldChar w:fldCharType="end"/>
          </w:r>
        </w:p>
      </w:tc>
    </w:tr>
  </w:tbl>
  <w:p w:rsidR="00066864" w:rsidRDefault="00066864" w:rsidP="00991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64" w:rsidRDefault="00066864" w:rsidP="00991FC5">
      <w:pPr>
        <w:spacing w:after="0" w:line="240" w:lineRule="auto"/>
      </w:pPr>
      <w:r>
        <w:separator/>
      </w:r>
    </w:p>
  </w:footnote>
  <w:footnote w:type="continuationSeparator" w:id="0">
    <w:p w:rsidR="00066864" w:rsidRDefault="00066864" w:rsidP="00991FC5">
      <w:pPr>
        <w:spacing w:after="0" w:line="240" w:lineRule="auto"/>
      </w:pPr>
      <w:r>
        <w:continuationSeparator/>
      </w:r>
    </w:p>
  </w:footnote>
  <w:footnote w:type="continuationNotice" w:id="1">
    <w:p w:rsidR="00066864" w:rsidRDefault="00066864">
      <w:pPr>
        <w:spacing w:after="0" w:line="240" w:lineRule="auto"/>
      </w:pPr>
    </w:p>
  </w:footnote>
  <w:footnote w:id="2">
    <w:p w:rsidR="00066864" w:rsidRDefault="00066864" w:rsidP="00991FC5">
      <w:pPr>
        <w:pStyle w:val="FootnoteText"/>
      </w:pPr>
      <w:r>
        <w:rPr>
          <w:rStyle w:val="FootnoteReference"/>
        </w:rPr>
        <w:footnoteRef/>
      </w:r>
      <w:r>
        <w:t xml:space="preserve"> </w:t>
      </w:r>
      <w:hyperlink r:id="rId1" w:history="1">
        <w:r w:rsidRPr="00A045CA">
          <w:rPr>
            <w:rStyle w:val="Hyperlink"/>
          </w:rPr>
          <w:t>http://ci.santa-rosa.ca.us/departments/utilities/treatment/treatment/Pages/process.aspx</w:t>
        </w:r>
      </w:hyperlink>
      <w:r>
        <w:t xml:space="preserve"> </w:t>
      </w:r>
    </w:p>
  </w:footnote>
  <w:footnote w:id="3">
    <w:p w:rsidR="00066864" w:rsidRDefault="00066864">
      <w:pPr>
        <w:pStyle w:val="FootnoteText"/>
      </w:pPr>
      <w:r>
        <w:rPr>
          <w:rStyle w:val="FootnoteReference"/>
        </w:rPr>
        <w:footnoteRef/>
      </w:r>
      <w:r>
        <w:t xml:space="preserve"> </w:t>
      </w:r>
      <w:proofErr w:type="gramStart"/>
      <w:r w:rsidRPr="00B05788">
        <w:t>City of Santa Rosa 2007 Update to the Recycled Water Master Plan, p. S-2.</w:t>
      </w:r>
      <w:proofErr w:type="gramEnd"/>
    </w:p>
  </w:footnote>
  <w:footnote w:id="4">
    <w:p w:rsidR="00066864" w:rsidRDefault="00066864">
      <w:pPr>
        <w:pStyle w:val="FootnoteText"/>
      </w:pPr>
      <w:r>
        <w:rPr>
          <w:rStyle w:val="FootnoteReference"/>
        </w:rPr>
        <w:footnoteRef/>
      </w:r>
      <w:r>
        <w:t xml:space="preserve"> </w:t>
      </w:r>
      <w:r w:rsidRPr="00B05788">
        <w:t>City of Santa Rosa, 2007 Update to the Recycled Water Master Plan, p.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1361"/>
      <w:gridCol w:w="7711"/>
    </w:tblGrid>
    <w:tr w:rsidR="00066864">
      <w:trPr>
        <w:trHeight w:val="475"/>
      </w:trPr>
      <w:tc>
        <w:tcPr>
          <w:tcW w:w="750" w:type="pct"/>
          <w:shd w:val="clear" w:color="auto" w:fill="D9D9D9"/>
          <w:vAlign w:val="center"/>
        </w:tcPr>
        <w:p w:rsidR="00066864" w:rsidRPr="004437D4" w:rsidRDefault="00066864" w:rsidP="00991FC5">
          <w:pPr>
            <w:pStyle w:val="Header"/>
            <w:jc w:val="center"/>
          </w:pPr>
          <w:r>
            <w:rPr>
              <w:sz w:val="32"/>
            </w:rPr>
            <w:t>3.13</w:t>
          </w:r>
        </w:p>
      </w:tc>
      <w:tc>
        <w:tcPr>
          <w:tcW w:w="4250" w:type="pct"/>
          <w:shd w:val="clear" w:color="auto" w:fill="FFFFFF"/>
          <w:vAlign w:val="center"/>
        </w:tcPr>
        <w:p w:rsidR="00066864" w:rsidRPr="004437D4" w:rsidRDefault="00066864" w:rsidP="00991FC5">
          <w:pPr>
            <w:pStyle w:val="Header-EvenPage"/>
          </w:pPr>
          <w:r>
            <w:t xml:space="preserve">Utilities </w:t>
          </w:r>
        </w:p>
      </w:tc>
    </w:tr>
  </w:tbl>
  <w:p w:rsidR="00066864" w:rsidRDefault="00066864">
    <w:pPr>
      <w:pStyle w:val="MediumGrid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7711"/>
      <w:gridCol w:w="1361"/>
    </w:tblGrid>
    <w:tr w:rsidR="00066864" w:rsidRPr="004437D4">
      <w:trPr>
        <w:trHeight w:val="475"/>
      </w:trPr>
      <w:tc>
        <w:tcPr>
          <w:tcW w:w="4250" w:type="pct"/>
          <w:shd w:val="clear" w:color="auto" w:fill="FFFFFF"/>
          <w:vAlign w:val="center"/>
        </w:tcPr>
        <w:p w:rsidR="00066864" w:rsidRDefault="00066864" w:rsidP="00991FC5">
          <w:pPr>
            <w:pStyle w:val="Header"/>
            <w:jc w:val="right"/>
            <w:rPr>
              <w:caps/>
              <w:color w:val="FFFFFF"/>
            </w:rPr>
          </w:pPr>
          <w:r>
            <w:rPr>
              <w:sz w:val="32"/>
              <w:shd w:val="clear" w:color="auto" w:fill="FFFFFF"/>
            </w:rPr>
            <w:t xml:space="preserve">Utilities </w:t>
          </w:r>
        </w:p>
      </w:tc>
      <w:tc>
        <w:tcPr>
          <w:tcW w:w="750" w:type="pct"/>
          <w:shd w:val="clear" w:color="auto" w:fill="D9D9D9"/>
          <w:vAlign w:val="center"/>
        </w:tcPr>
        <w:p w:rsidR="00066864" w:rsidRPr="004437D4" w:rsidRDefault="00066864" w:rsidP="00991FC5">
          <w:pPr>
            <w:pStyle w:val="Header"/>
            <w:jc w:val="center"/>
            <w:rPr>
              <w:sz w:val="32"/>
            </w:rPr>
          </w:pPr>
          <w:r>
            <w:rPr>
              <w:sz w:val="32"/>
            </w:rPr>
            <w:t>3.13</w:t>
          </w:r>
        </w:p>
      </w:tc>
    </w:tr>
  </w:tbl>
  <w:p w:rsidR="00066864" w:rsidRDefault="00066864" w:rsidP="00991FC5">
    <w:pPr>
      <w:pStyle w:val="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066864" w:rsidRPr="00A65AF8">
      <w:trPr>
        <w:jc w:val="right"/>
      </w:trPr>
      <w:tc>
        <w:tcPr>
          <w:tcW w:w="4189" w:type="pct"/>
          <w:vAlign w:val="center"/>
        </w:tcPr>
        <w:p w:rsidR="00066864" w:rsidRPr="006806E6" w:rsidRDefault="00066864" w:rsidP="00991FC5">
          <w:pPr>
            <w:pStyle w:val="Header"/>
            <w:jc w:val="right"/>
          </w:pPr>
          <w:r>
            <w:t xml:space="preserve">Utilities </w:t>
          </w:r>
        </w:p>
      </w:tc>
      <w:tc>
        <w:tcPr>
          <w:tcW w:w="811" w:type="pct"/>
          <w:shd w:val="clear" w:color="auto" w:fill="D9D9D9"/>
          <w:vAlign w:val="center"/>
        </w:tcPr>
        <w:p w:rsidR="00066864" w:rsidRPr="00A65AF8" w:rsidRDefault="00066864" w:rsidP="00991FC5">
          <w:pPr>
            <w:pStyle w:val="Header"/>
            <w:jc w:val="center"/>
          </w:pPr>
          <w:r>
            <w:t>3.13</w:t>
          </w:r>
        </w:p>
      </w:tc>
    </w:tr>
  </w:tbl>
  <w:p w:rsidR="00066864" w:rsidRDefault="00066864">
    <w:pPr>
      <w:pStyle w:val="MediumGrid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307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21A03A8"/>
    <w:lvl w:ilvl="0">
      <w:start w:val="1"/>
      <w:numFmt w:val="decimal"/>
      <w:lvlText w:val="%1."/>
      <w:lvlJc w:val="left"/>
      <w:pPr>
        <w:tabs>
          <w:tab w:val="num" w:pos="1800"/>
        </w:tabs>
        <w:ind w:left="1800" w:hanging="360"/>
      </w:pPr>
    </w:lvl>
  </w:abstractNum>
  <w:abstractNum w:abstractNumId="2">
    <w:nsid w:val="FFFFFF7D"/>
    <w:multiLevelType w:val="singleLevel"/>
    <w:tmpl w:val="73C25386"/>
    <w:lvl w:ilvl="0">
      <w:start w:val="1"/>
      <w:numFmt w:val="decimal"/>
      <w:lvlText w:val="%1."/>
      <w:lvlJc w:val="left"/>
      <w:pPr>
        <w:tabs>
          <w:tab w:val="num" w:pos="1440"/>
        </w:tabs>
        <w:ind w:left="1440" w:hanging="360"/>
      </w:pPr>
    </w:lvl>
  </w:abstractNum>
  <w:abstractNum w:abstractNumId="3">
    <w:nsid w:val="FFFFFF80"/>
    <w:multiLevelType w:val="singleLevel"/>
    <w:tmpl w:val="FAD667EE"/>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FE4AFA1E"/>
    <w:lvl w:ilvl="0">
      <w:start w:val="1"/>
      <w:numFmt w:val="bullet"/>
      <w:lvlText w:val=""/>
      <w:lvlJc w:val="left"/>
      <w:pPr>
        <w:tabs>
          <w:tab w:val="num" w:pos="1440"/>
        </w:tabs>
        <w:ind w:left="1440" w:hanging="360"/>
      </w:pPr>
      <w:rPr>
        <w:rFonts w:ascii="Symbol" w:hAnsi="Symbol" w:hint="default"/>
      </w:rPr>
    </w:lvl>
  </w:abstractNum>
  <w:abstractNum w:abstractNumId="5">
    <w:nsid w:val="0A383399"/>
    <w:multiLevelType w:val="hybridMultilevel"/>
    <w:tmpl w:val="4218EAA8"/>
    <w:lvl w:ilvl="0" w:tplc="6C7E8E50">
      <w:start w:val="1"/>
      <w:numFmt w:val="bullet"/>
      <w:pStyle w:val="ListBullet2"/>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4713D5"/>
    <w:multiLevelType w:val="hybridMultilevel"/>
    <w:tmpl w:val="04EA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B151A"/>
    <w:multiLevelType w:val="hybridMultilevel"/>
    <w:tmpl w:val="8672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16911"/>
    <w:multiLevelType w:val="hybridMultilevel"/>
    <w:tmpl w:val="04F0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623BC5"/>
    <w:multiLevelType w:val="multilevel"/>
    <w:tmpl w:val="672E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55976"/>
    <w:multiLevelType w:val="hybridMultilevel"/>
    <w:tmpl w:val="9F94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4685A"/>
    <w:multiLevelType w:val="hybridMultilevel"/>
    <w:tmpl w:val="4ABC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377E0"/>
    <w:multiLevelType w:val="hybridMultilevel"/>
    <w:tmpl w:val="3178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292BE1"/>
    <w:multiLevelType w:val="hybridMultilevel"/>
    <w:tmpl w:val="2EB0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8F1D4F"/>
    <w:multiLevelType w:val="hybridMultilevel"/>
    <w:tmpl w:val="A61AAB62"/>
    <w:lvl w:ilvl="0" w:tplc="DB46A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E4447"/>
    <w:multiLevelType w:val="hybridMultilevel"/>
    <w:tmpl w:val="4586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41461"/>
    <w:multiLevelType w:val="hybridMultilevel"/>
    <w:tmpl w:val="D60E8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640C54"/>
    <w:multiLevelType w:val="hybridMultilevel"/>
    <w:tmpl w:val="2D1E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4C7E07"/>
    <w:multiLevelType w:val="hybridMultilevel"/>
    <w:tmpl w:val="381A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33043A"/>
    <w:multiLevelType w:val="hybridMultilevel"/>
    <w:tmpl w:val="CA6E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712856"/>
    <w:multiLevelType w:val="hybridMultilevel"/>
    <w:tmpl w:val="318E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D46925"/>
    <w:multiLevelType w:val="multilevel"/>
    <w:tmpl w:val="F25E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49152C"/>
    <w:multiLevelType w:val="hybridMultilevel"/>
    <w:tmpl w:val="B3344CD4"/>
    <w:lvl w:ilvl="0" w:tplc="7224467E">
      <w:start w:val="4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007355"/>
    <w:multiLevelType w:val="hybridMultilevel"/>
    <w:tmpl w:val="A908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72646D"/>
    <w:multiLevelType w:val="hybridMultilevel"/>
    <w:tmpl w:val="DEBA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A75DA9"/>
    <w:multiLevelType w:val="hybridMultilevel"/>
    <w:tmpl w:val="AE0EBE98"/>
    <w:lvl w:ilvl="0" w:tplc="9D44C7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DB73AA"/>
    <w:multiLevelType w:val="hybridMultilevel"/>
    <w:tmpl w:val="33E2E1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9F14214"/>
    <w:multiLevelType w:val="hybridMultilevel"/>
    <w:tmpl w:val="972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A17F77"/>
    <w:multiLevelType w:val="hybridMultilevel"/>
    <w:tmpl w:val="A61AAB62"/>
    <w:lvl w:ilvl="0" w:tplc="DB46A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2957AD"/>
    <w:multiLevelType w:val="hybridMultilevel"/>
    <w:tmpl w:val="8184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10354"/>
    <w:multiLevelType w:val="hybridMultilevel"/>
    <w:tmpl w:val="AC90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675CAE"/>
    <w:multiLevelType w:val="hybridMultilevel"/>
    <w:tmpl w:val="8AE8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2E4382"/>
    <w:multiLevelType w:val="hybridMultilevel"/>
    <w:tmpl w:val="2A5C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FD0282"/>
    <w:multiLevelType w:val="hybridMultilevel"/>
    <w:tmpl w:val="ED94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28"/>
  </w:num>
  <w:num w:numId="4">
    <w:abstractNumId w:val="14"/>
  </w:num>
  <w:num w:numId="5">
    <w:abstractNumId w:val="31"/>
  </w:num>
  <w:num w:numId="6">
    <w:abstractNumId w:val="16"/>
  </w:num>
  <w:num w:numId="7">
    <w:abstractNumId w:val="15"/>
  </w:num>
  <w:num w:numId="8">
    <w:abstractNumId w:val="18"/>
  </w:num>
  <w:num w:numId="9">
    <w:abstractNumId w:val="10"/>
  </w:num>
  <w:num w:numId="10">
    <w:abstractNumId w:val="23"/>
  </w:num>
  <w:num w:numId="11">
    <w:abstractNumId w:val="24"/>
  </w:num>
  <w:num w:numId="12">
    <w:abstractNumId w:val="33"/>
  </w:num>
  <w:num w:numId="13">
    <w:abstractNumId w:val="20"/>
  </w:num>
  <w:num w:numId="14">
    <w:abstractNumId w:val="6"/>
  </w:num>
  <w:num w:numId="15">
    <w:abstractNumId w:val="30"/>
  </w:num>
  <w:num w:numId="16">
    <w:abstractNumId w:val="22"/>
  </w:num>
  <w:num w:numId="17">
    <w:abstractNumId w:val="29"/>
  </w:num>
  <w:num w:numId="18">
    <w:abstractNumId w:val="8"/>
  </w:num>
  <w:num w:numId="19">
    <w:abstractNumId w:val="27"/>
  </w:num>
  <w:num w:numId="20">
    <w:abstractNumId w:val="17"/>
  </w:num>
  <w:num w:numId="21">
    <w:abstractNumId w:val="13"/>
  </w:num>
  <w:num w:numId="22">
    <w:abstractNumId w:val="32"/>
  </w:num>
  <w:num w:numId="23">
    <w:abstractNumId w:val="7"/>
  </w:num>
  <w:num w:numId="24">
    <w:abstractNumId w:val="12"/>
  </w:num>
  <w:num w:numId="25">
    <w:abstractNumId w:val="19"/>
  </w:num>
  <w:num w:numId="26">
    <w:abstractNumId w:val="4"/>
  </w:num>
  <w:num w:numId="27">
    <w:abstractNumId w:val="3"/>
  </w:num>
  <w:num w:numId="28">
    <w:abstractNumId w:val="2"/>
  </w:num>
  <w:num w:numId="29">
    <w:abstractNumId w:val="1"/>
  </w:num>
  <w:num w:numId="30">
    <w:abstractNumId w:val="0"/>
  </w:num>
  <w:num w:numId="31">
    <w:abstractNumId w:val="21"/>
  </w:num>
  <w:num w:numId="32">
    <w:abstractNumId w:val="11"/>
  </w:num>
  <w:num w:numId="33">
    <w:abstractNumId w:val="9"/>
  </w:num>
  <w:num w:numId="34">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2"/>
    <w:docVar w:name="DOCID" w:val="OK"/>
  </w:docVars>
  <w:rsids>
    <w:rsidRoot w:val="00E44588"/>
    <w:rsid w:val="00066864"/>
    <w:rsid w:val="000E2488"/>
    <w:rsid w:val="001026BD"/>
    <w:rsid w:val="0022781D"/>
    <w:rsid w:val="00232533"/>
    <w:rsid w:val="00250AF7"/>
    <w:rsid w:val="003F7CF5"/>
    <w:rsid w:val="00423CCD"/>
    <w:rsid w:val="0049444C"/>
    <w:rsid w:val="004D7D3A"/>
    <w:rsid w:val="00536E7F"/>
    <w:rsid w:val="0054321E"/>
    <w:rsid w:val="00573F57"/>
    <w:rsid w:val="00581781"/>
    <w:rsid w:val="00591F37"/>
    <w:rsid w:val="005D7E08"/>
    <w:rsid w:val="005F269E"/>
    <w:rsid w:val="00675788"/>
    <w:rsid w:val="006C00A7"/>
    <w:rsid w:val="00736939"/>
    <w:rsid w:val="007C394B"/>
    <w:rsid w:val="008670F7"/>
    <w:rsid w:val="0089104F"/>
    <w:rsid w:val="008A26FD"/>
    <w:rsid w:val="009823AE"/>
    <w:rsid w:val="00982EB6"/>
    <w:rsid w:val="00991FC5"/>
    <w:rsid w:val="009A109B"/>
    <w:rsid w:val="009A2F5C"/>
    <w:rsid w:val="009E6542"/>
    <w:rsid w:val="00A547AA"/>
    <w:rsid w:val="00BC359F"/>
    <w:rsid w:val="00BD5658"/>
    <w:rsid w:val="00C13B30"/>
    <w:rsid w:val="00D5638B"/>
    <w:rsid w:val="00E44588"/>
    <w:rsid w:val="00E8282B"/>
    <w:rsid w:val="00F668F5"/>
    <w:rsid w:val="00FC2144"/>
    <w:rsid w:val="00FF70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Balloon Text" w:uiPriority="99"/>
    <w:lsdException w:name="Table Grid" w:uiPriority="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82B"/>
    <w:pPr>
      <w:spacing w:after="200" w:line="264" w:lineRule="auto"/>
      <w:jc w:val="both"/>
      <w:pPrChange w:id="0" w:author="Vicki Parker" w:date="2014-07-22T19:28:00Z">
        <w:pPr>
          <w:spacing w:after="200" w:line="264" w:lineRule="auto"/>
          <w:jc w:val="both"/>
        </w:pPr>
      </w:pPrChange>
    </w:pPr>
    <w:rPr>
      <w:sz w:val="22"/>
      <w:szCs w:val="22"/>
      <w:rPrChange w:id="0" w:author="Vicki Parker" w:date="2014-07-22T19:28:00Z">
        <w:rPr>
          <w:rFonts w:ascii="Calibri" w:hAnsi="Calibri"/>
          <w:sz w:val="22"/>
          <w:szCs w:val="22"/>
          <w:lang w:val="en-US" w:eastAsia="en-US" w:bidi="ar-SA"/>
        </w:rPr>
      </w:rPrChange>
    </w:rPr>
  </w:style>
  <w:style w:type="paragraph" w:styleId="Heading1">
    <w:name w:val="heading 1"/>
    <w:basedOn w:val="Normal"/>
    <w:next w:val="Normal"/>
    <w:link w:val="Heading1Char"/>
    <w:uiPriority w:val="9"/>
    <w:qFormat/>
    <w:rsid w:val="00136D27"/>
    <w:pPr>
      <w:spacing w:before="300" w:after="40"/>
      <w:jc w:val="left"/>
      <w:outlineLvl w:val="0"/>
    </w:pPr>
    <w:rPr>
      <w:rFonts w:ascii="Cambria" w:hAnsi="Cambria"/>
      <w:smallCaps/>
      <w:spacing w:val="5"/>
      <w:sz w:val="36"/>
      <w:szCs w:val="36"/>
    </w:rPr>
  </w:style>
  <w:style w:type="paragraph" w:styleId="Heading2">
    <w:name w:val="heading 2"/>
    <w:basedOn w:val="Normal"/>
    <w:next w:val="Normal"/>
    <w:link w:val="Heading2Char"/>
    <w:uiPriority w:val="9"/>
    <w:qFormat/>
    <w:rsid w:val="00136D27"/>
    <w:pPr>
      <w:spacing w:before="240" w:after="80"/>
      <w:jc w:val="left"/>
      <w:outlineLvl w:val="1"/>
    </w:pPr>
    <w:rPr>
      <w:rFonts w:ascii="Cambria" w:hAnsi="Cambria"/>
      <w:smallCaps/>
      <w:spacing w:val="5"/>
      <w:sz w:val="32"/>
      <w:szCs w:val="32"/>
    </w:rPr>
  </w:style>
  <w:style w:type="paragraph" w:styleId="Heading3">
    <w:name w:val="heading 3"/>
    <w:basedOn w:val="Normal"/>
    <w:next w:val="Normal"/>
    <w:link w:val="Heading3Char"/>
    <w:uiPriority w:val="9"/>
    <w:qFormat/>
    <w:rsid w:val="00877B93"/>
    <w:pPr>
      <w:keepNext/>
      <w:pBdr>
        <w:bottom w:val="single" w:sz="4" w:space="1" w:color="auto"/>
      </w:pBdr>
      <w:spacing w:after="60"/>
      <w:jc w:val="left"/>
      <w:outlineLvl w:val="2"/>
    </w:pPr>
    <w:rPr>
      <w:rFonts w:ascii="Cambria" w:hAnsi="Cambria"/>
      <w:smallCaps/>
      <w:spacing w:val="20"/>
      <w:sz w:val="30"/>
      <w:szCs w:val="30"/>
    </w:rPr>
  </w:style>
  <w:style w:type="paragraph" w:styleId="Heading4">
    <w:name w:val="heading 4"/>
    <w:basedOn w:val="Normal"/>
    <w:next w:val="Normal"/>
    <w:link w:val="Heading4Char"/>
    <w:uiPriority w:val="9"/>
    <w:qFormat/>
    <w:rsid w:val="00877B93"/>
    <w:pPr>
      <w:keepNext/>
      <w:spacing w:before="240" w:after="60"/>
      <w:jc w:val="left"/>
      <w:outlineLvl w:val="3"/>
    </w:pPr>
    <w:rPr>
      <w:rFonts w:ascii="Cambria" w:hAnsi="Cambria"/>
      <w:b/>
      <w:sz w:val="26"/>
      <w:szCs w:val="26"/>
    </w:rPr>
  </w:style>
  <w:style w:type="paragraph" w:styleId="Heading5">
    <w:name w:val="heading 5"/>
    <w:basedOn w:val="Normal"/>
    <w:next w:val="Normal"/>
    <w:link w:val="Heading5Char"/>
    <w:uiPriority w:val="9"/>
    <w:qFormat/>
    <w:rsid w:val="00D749E7"/>
    <w:pPr>
      <w:keepNext/>
      <w:spacing w:before="120" w:after="40"/>
      <w:outlineLvl w:val="4"/>
    </w:pPr>
    <w:rPr>
      <w:rFonts w:ascii="Cambria" w:hAnsi="Cambria"/>
      <w:smallCaps/>
      <w:sz w:val="24"/>
    </w:rPr>
  </w:style>
  <w:style w:type="paragraph" w:styleId="Heading6">
    <w:name w:val="heading 6"/>
    <w:basedOn w:val="Normal"/>
    <w:next w:val="Normal"/>
    <w:link w:val="Heading6Char"/>
    <w:uiPriority w:val="9"/>
    <w:qFormat/>
    <w:rsid w:val="00136D27"/>
    <w:pPr>
      <w:spacing w:after="0"/>
      <w:jc w:val="left"/>
      <w:outlineLvl w:val="5"/>
    </w:pPr>
    <w:rPr>
      <w:rFonts w:ascii="Cambria" w:hAnsi="Cambria"/>
      <w:b/>
      <w:i/>
      <w:color w:val="000000"/>
      <w:spacing w:val="5"/>
    </w:rPr>
  </w:style>
  <w:style w:type="paragraph" w:styleId="Heading7">
    <w:name w:val="heading 7"/>
    <w:aliases w:val="Table Title"/>
    <w:basedOn w:val="Normal"/>
    <w:next w:val="Normal"/>
    <w:link w:val="Heading7Char"/>
    <w:uiPriority w:val="9"/>
    <w:qFormat/>
    <w:rsid w:val="00136D27"/>
    <w:pPr>
      <w:spacing w:after="0"/>
      <w:jc w:val="left"/>
      <w:outlineLvl w:val="6"/>
    </w:pPr>
    <w:rPr>
      <w:b/>
      <w:i/>
      <w:smallCaps/>
      <w:color w:val="000000"/>
      <w:spacing w:val="2"/>
    </w:rPr>
  </w:style>
  <w:style w:type="paragraph" w:styleId="Heading8">
    <w:name w:val="heading 8"/>
    <w:aliases w:val="Heading 8 - Table Heading Row"/>
    <w:basedOn w:val="Heading5"/>
    <w:next w:val="Normal"/>
    <w:link w:val="Heading8Char"/>
    <w:uiPriority w:val="9"/>
    <w:qFormat/>
    <w:rsid w:val="00136D27"/>
    <w:pPr>
      <w:spacing w:after="0"/>
      <w:jc w:val="left"/>
      <w:outlineLvl w:val="7"/>
    </w:pPr>
    <w:rPr>
      <w:sz w:val="20"/>
    </w:rPr>
  </w:style>
  <w:style w:type="paragraph" w:styleId="Heading9">
    <w:name w:val="heading 9"/>
    <w:basedOn w:val="Normal"/>
    <w:next w:val="Normal"/>
    <w:link w:val="Heading9Char"/>
    <w:uiPriority w:val="9"/>
    <w:qFormat/>
    <w:rsid w:val="00136D27"/>
    <w:pPr>
      <w:spacing w:after="0"/>
      <w:jc w:val="left"/>
      <w:outlineLvl w:val="8"/>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
    <w:rsid w:val="00477926"/>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
    <w:rsid w:val="00350F4A"/>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D749E7"/>
    <w:rPr>
      <w:rFonts w:ascii="Cambria" w:hAnsi="Cambria"/>
      <w:smallCaps/>
      <w:sz w:val="24"/>
      <w:szCs w:val="22"/>
    </w:rPr>
  </w:style>
  <w:style w:type="character" w:customStyle="1" w:styleId="Heading6Char">
    <w:name w:val="Heading 6 Char"/>
    <w:link w:val="Heading6"/>
    <w:uiPriority w:val="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
    <w:rsid w:val="00477926"/>
    <w:rPr>
      <w:rFonts w:ascii="Cambria" w:eastAsia="Times New Roman" w:hAnsi="Cambria" w:cs="Times New Roman"/>
      <w:smallCaps/>
      <w:sz w:val="20"/>
      <w:szCs w:val="22"/>
      <w:lang w:bidi="ar-SA"/>
    </w:rPr>
  </w:style>
  <w:style w:type="character" w:customStyle="1" w:styleId="Heading9Char">
    <w:name w:val="Heading 9 Char"/>
    <w:link w:val="Heading9"/>
    <w:uiPriority w:val="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iPriority w:val="99"/>
    <w:unhideWhenUsed/>
    <w:rsid w:val="00136D27"/>
    <w:pPr>
      <w:spacing w:after="0" w:line="240" w:lineRule="auto"/>
    </w:pPr>
    <w:rPr>
      <w:rFonts w:ascii="Tahoma" w:hAnsi="Tahoma" w:cs="Tahoma"/>
      <w:sz w:val="16"/>
      <w:szCs w:val="16"/>
    </w:rPr>
  </w:style>
  <w:style w:type="character" w:customStyle="1" w:styleId="BalloonTextChar">
    <w:name w:val="Balloon Text Char"/>
    <w:link w:val="BalloonText"/>
    <w:uiPriority w:val="99"/>
    <w:rsid w:val="00136D27"/>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29"/>
    <w:qFormat/>
    <w:rsid w:val="00136D27"/>
    <w:pPr>
      <w:spacing w:after="160"/>
      <w:ind w:left="2160"/>
    </w:pPr>
    <w:rPr>
      <w:i/>
      <w:iCs/>
      <w:color w:val="0F243E"/>
      <w:szCs w:val="20"/>
      <w:lang w:bidi="en-US"/>
    </w:rPr>
  </w:style>
  <w:style w:type="character" w:styleId="Emphasis">
    <w:name w:val="Emphasis"/>
    <w:uiPriority w:val="20"/>
    <w:qFormat/>
    <w:rsid w:val="00136D27"/>
    <w:rPr>
      <w:i/>
      <w:iCs/>
    </w:rPr>
  </w:style>
  <w:style w:type="paragraph" w:styleId="Footer">
    <w:name w:val="footer"/>
    <w:basedOn w:val="Normal"/>
    <w:link w:val="FooterChar"/>
    <w:uiPriority w:val="99"/>
    <w:unhideWhenUsed/>
    <w:rsid w:val="00136D27"/>
    <w:pPr>
      <w:tabs>
        <w:tab w:val="center" w:pos="4680"/>
        <w:tab w:val="right" w:pos="9360"/>
      </w:tabs>
      <w:spacing w:after="0" w:line="240" w:lineRule="auto"/>
    </w:pPr>
  </w:style>
  <w:style w:type="character" w:customStyle="1" w:styleId="FooterChar">
    <w:name w:val="Footer Char"/>
    <w:link w:val="Footer"/>
    <w:uiPriority w:val="99"/>
    <w:rsid w:val="00136D27"/>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136D27"/>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136D27"/>
    <w:rPr>
      <w:rFonts w:ascii="Cambria" w:eastAsia="Times New Roman" w:hAnsi="Cambria" w:cs="Times New Roman"/>
      <w:smallCaps/>
      <w:spacing w:val="5"/>
      <w:sz w:val="36"/>
      <w:szCs w:val="36"/>
      <w:lang w:bidi="ar-SA"/>
    </w:rPr>
  </w:style>
  <w:style w:type="paragraph" w:customStyle="1" w:styleId="Header-EvenPage">
    <w:name w:val="Header - Even Page"/>
    <w:basedOn w:val="Header"/>
    <w:qFormat/>
    <w:rsid w:val="00136D27"/>
    <w:rPr>
      <w:sz w:val="32"/>
    </w:rPr>
  </w:style>
  <w:style w:type="character" w:styleId="Hyperlink">
    <w:name w:val="Hyperlink"/>
    <w:uiPriority w:val="99"/>
    <w:unhideWhenUsed/>
    <w:rsid w:val="00136D27"/>
    <w:rPr>
      <w:color w:val="0000FF"/>
      <w:u w:val="single"/>
    </w:rPr>
  </w:style>
  <w:style w:type="character" w:customStyle="1" w:styleId="Impact-MMChar">
    <w:name w:val="Impact-MM Char"/>
    <w:rsid w:val="00136D27"/>
    <w:rPr>
      <w:rFonts w:ascii="Century Gothic" w:hAnsi="Century Gothic"/>
      <w:bCs/>
      <w:szCs w:val="24"/>
      <w:lang w:val="en-US" w:eastAsia="en-US" w:bidi="ar-SA"/>
    </w:rPr>
  </w:style>
  <w:style w:type="paragraph" w:styleId="ListBullet">
    <w:name w:val="List Bullet"/>
    <w:basedOn w:val="Normal"/>
    <w:uiPriority w:val="99"/>
    <w:unhideWhenUsed/>
    <w:qFormat/>
    <w:rsid w:val="00136D27"/>
    <w:pPr>
      <w:contextualSpacing/>
    </w:pPr>
  </w:style>
  <w:style w:type="paragraph" w:styleId="ListBullet2">
    <w:name w:val="List Bullet 2"/>
    <w:basedOn w:val="Normal"/>
    <w:uiPriority w:val="99"/>
    <w:unhideWhenUsed/>
    <w:qFormat/>
    <w:rsid w:val="00136D27"/>
    <w:pPr>
      <w:numPr>
        <w:numId w:val="2"/>
      </w:numPr>
      <w:contextualSpacing/>
    </w:pPr>
  </w:style>
  <w:style w:type="paragraph" w:styleId="ListBullet3">
    <w:name w:val="List Bullet 3"/>
    <w:basedOn w:val="Normal"/>
    <w:uiPriority w:val="99"/>
    <w:unhideWhenUsed/>
    <w:qFormat/>
    <w:rsid w:val="00136D27"/>
    <w:pPr>
      <w:tabs>
        <w:tab w:val="num" w:pos="1080"/>
      </w:tabs>
      <w:ind w:left="1080" w:hanging="360"/>
      <w:contextualSpacing/>
    </w:pPr>
  </w:style>
  <w:style w:type="paragraph" w:styleId="ListNumber">
    <w:name w:val="List Number"/>
    <w:basedOn w:val="Normal"/>
    <w:uiPriority w:val="99"/>
    <w:unhideWhenUsed/>
    <w:rsid w:val="00136D27"/>
    <w:pPr>
      <w:tabs>
        <w:tab w:val="num" w:pos="360"/>
      </w:tabs>
      <w:ind w:left="360" w:hanging="360"/>
      <w:contextualSpacing/>
    </w:pPr>
  </w:style>
  <w:style w:type="paragraph" w:styleId="ListNumber2">
    <w:name w:val="List Number 2"/>
    <w:basedOn w:val="Normal"/>
    <w:uiPriority w:val="99"/>
    <w:unhideWhenUsed/>
    <w:rsid w:val="00136D27"/>
    <w:pPr>
      <w:tabs>
        <w:tab w:val="num" w:pos="720"/>
      </w:tabs>
      <w:ind w:left="720" w:hanging="360"/>
      <w:contextualSpacing/>
    </w:pPr>
  </w:style>
  <w:style w:type="paragraph" w:styleId="ListNumber3">
    <w:name w:val="List Number 3"/>
    <w:basedOn w:val="Normal"/>
    <w:uiPriority w:val="99"/>
    <w:unhideWhenUsed/>
    <w:rsid w:val="00136D27"/>
    <w:pPr>
      <w:tabs>
        <w:tab w:val="num" w:pos="1080"/>
      </w:tabs>
      <w:ind w:left="1080" w:hanging="360"/>
      <w:contextualSpacing/>
    </w:pPr>
  </w:style>
  <w:style w:type="paragraph" w:customStyle="1" w:styleId="MediumGrid1-Accent21">
    <w:name w:val="Medium Grid 1 - Accent 21"/>
    <w:basedOn w:val="Normal"/>
    <w:uiPriority w:val="34"/>
    <w:qFormat/>
    <w:rsid w:val="00136D27"/>
    <w:pPr>
      <w:ind w:left="1080" w:hanging="360"/>
      <w:contextualSpacing/>
    </w:pPr>
  </w:style>
  <w:style w:type="paragraph" w:customStyle="1" w:styleId="MediumGrid21">
    <w:name w:val="Medium Grid 21"/>
    <w:uiPriority w:val="1"/>
    <w:qFormat/>
    <w:rsid w:val="00136D27"/>
    <w:pPr>
      <w:jc w:val="both"/>
    </w:pPr>
    <w:rPr>
      <w:sz w:val="22"/>
      <w:szCs w:val="22"/>
    </w:rPr>
  </w:style>
  <w:style w:type="paragraph" w:styleId="NormalWeb">
    <w:name w:val="Normal (Web)"/>
    <w:basedOn w:val="Normal"/>
    <w:uiPriority w:val="99"/>
    <w:unhideWhenUsed/>
    <w:rsid w:val="00136D27"/>
    <w:pPr>
      <w:spacing w:before="168" w:after="216" w:line="240" w:lineRule="auto"/>
      <w:jc w:val="left"/>
    </w:pPr>
    <w:rPr>
      <w:rFonts w:ascii="Times New Roman" w:hAnsi="Times New Roman"/>
      <w:sz w:val="24"/>
      <w:szCs w:val="24"/>
    </w:rPr>
  </w:style>
  <w:style w:type="paragraph" w:customStyle="1" w:styleId="MediumGrid2-Accent21">
    <w:name w:val="Medium Grid 2 - Accent 21"/>
    <w:basedOn w:val="Normal"/>
    <w:next w:val="Normal"/>
    <w:link w:val="MediumGrid2-Accent2Char"/>
    <w:uiPriority w:val="29"/>
    <w:rsid w:val="00136D27"/>
    <w:rPr>
      <w:i/>
    </w:rPr>
  </w:style>
  <w:style w:type="character" w:customStyle="1" w:styleId="MediumGrid2-Accent2Char">
    <w:name w:val="Medium Grid 2 - Accent 2 Char"/>
    <w:link w:val="MediumGrid2-Accent21"/>
    <w:uiPriority w:val="29"/>
    <w:rsid w:val="00136D27"/>
    <w:rPr>
      <w:rFonts w:ascii="Calibri" w:eastAsia="Times New Roman" w:hAnsi="Calibri" w:cs="Times New Roman"/>
      <w:i/>
      <w:sz w:val="22"/>
      <w:szCs w:val="22"/>
      <w:lang w:bidi="ar-SA"/>
    </w:rPr>
  </w:style>
  <w:style w:type="paragraph" w:customStyle="1" w:styleId="Source">
    <w:name w:val="Source"/>
    <w:next w:val="Normal"/>
    <w:qFormat/>
    <w:rsid w:val="00136D27"/>
    <w:pPr>
      <w:spacing w:after="160" w:line="288" w:lineRule="auto"/>
      <w:ind w:left="90"/>
      <w:jc w:val="both"/>
    </w:pPr>
    <w:rPr>
      <w:i/>
      <w:iCs/>
      <w:smallCaps/>
      <w:lang w:bidi="en-US"/>
    </w:rPr>
  </w:style>
  <w:style w:type="character" w:customStyle="1" w:styleId="SubtleEmphasis1">
    <w:name w:val="Subtle Emphasis1"/>
    <w:uiPriority w:val="19"/>
    <w:qFormat/>
    <w:rsid w:val="00136D27"/>
    <w:rPr>
      <w:i/>
      <w:iCs/>
      <w:color w:val="808080"/>
    </w:rPr>
  </w:style>
  <w:style w:type="character" w:customStyle="1" w:styleId="SubtleEmphasis10">
    <w:name w:val="Subtle Emphasis1"/>
    <w:uiPriority w:val="19"/>
    <w:qFormat/>
    <w:rsid w:val="00136D27"/>
    <w:rPr>
      <w:smallCaps/>
      <w:dstrike w:val="0"/>
      <w:color w:val="5A5A5A"/>
      <w:vertAlign w:val="baseline"/>
    </w:rPr>
  </w:style>
  <w:style w:type="table" w:styleId="TableGrid">
    <w:name w:val="Table Grid"/>
    <w:basedOn w:val="TableNormal"/>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575714"/>
    <w:pPr>
      <w:shd w:val="clear" w:color="auto" w:fill="D9D9D9"/>
      <w:jc w:val="center"/>
    </w:pPr>
    <w:rPr>
      <w:i/>
    </w:rPr>
  </w:style>
  <w:style w:type="paragraph" w:customStyle="1" w:styleId="TableText">
    <w:name w:val="Table Text"/>
    <w:basedOn w:val="Normal"/>
    <w:rsid w:val="00136D27"/>
    <w:pPr>
      <w:spacing w:before="120" w:after="120" w:line="240" w:lineRule="auto"/>
    </w:pPr>
    <w:rPr>
      <w:rFonts w:ascii="Cambria" w:hAnsi="Cambria"/>
      <w:sz w:val="18"/>
      <w:szCs w:val="18"/>
    </w:rPr>
  </w:style>
  <w:style w:type="paragraph" w:customStyle="1" w:styleId="TextBox">
    <w:name w:val="Text Box"/>
    <w:basedOn w:val="Normal"/>
    <w:rsid w:val="00136D27"/>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39"/>
    <w:unhideWhenUsed/>
    <w:qFormat/>
    <w:rsid w:val="00136D27"/>
    <w:pPr>
      <w:outlineLvl w:val="9"/>
    </w:pPr>
  </w:style>
  <w:style w:type="paragraph" w:customStyle="1" w:styleId="TOCHeading10">
    <w:name w:val="TOC Heading1"/>
    <w:basedOn w:val="Heading1"/>
    <w:next w:val="Normal"/>
    <w:uiPriority w:val="39"/>
    <w:unhideWhenUsed/>
    <w:qFormat/>
    <w:rsid w:val="00136D27"/>
  </w:style>
  <w:style w:type="paragraph" w:customStyle="1" w:styleId="MediumList2-Accent21">
    <w:name w:val="Medium List 2 - Accent 21"/>
    <w:hidden/>
    <w:rsid w:val="00BF1663"/>
    <w:rPr>
      <w:sz w:val="22"/>
      <w:szCs w:val="22"/>
    </w:rPr>
  </w:style>
  <w:style w:type="paragraph" w:styleId="BodyText">
    <w:name w:val="Body Text"/>
    <w:basedOn w:val="Normal"/>
    <w:link w:val="BodyTextChar"/>
    <w:rsid w:val="0090285B"/>
    <w:pPr>
      <w:spacing w:after="120"/>
    </w:pPr>
  </w:style>
  <w:style w:type="character" w:customStyle="1" w:styleId="BodyTextChar">
    <w:name w:val="Body Text Char"/>
    <w:link w:val="BodyText"/>
    <w:rsid w:val="0090285B"/>
    <w:rPr>
      <w:sz w:val="22"/>
      <w:szCs w:val="22"/>
    </w:rPr>
  </w:style>
  <w:style w:type="character" w:styleId="Strong">
    <w:name w:val="Strong"/>
    <w:uiPriority w:val="22"/>
    <w:qFormat/>
    <w:rsid w:val="0090285B"/>
    <w:rPr>
      <w:b/>
      <w:bCs/>
    </w:rPr>
  </w:style>
  <w:style w:type="character" w:styleId="CommentReference">
    <w:name w:val="annotation reference"/>
    <w:uiPriority w:val="99"/>
    <w:unhideWhenUsed/>
    <w:rsid w:val="007920F5"/>
    <w:rPr>
      <w:sz w:val="16"/>
      <w:szCs w:val="16"/>
    </w:rPr>
  </w:style>
  <w:style w:type="paragraph" w:customStyle="1" w:styleId="Policy">
    <w:name w:val="Policy"/>
    <w:basedOn w:val="Normal"/>
    <w:qFormat/>
    <w:rsid w:val="000B7DDC"/>
    <w:pPr>
      <w:tabs>
        <w:tab w:val="left" w:pos="720"/>
      </w:tabs>
      <w:spacing w:after="240" w:line="240" w:lineRule="auto"/>
      <w:ind w:left="720"/>
    </w:pPr>
    <w:rPr>
      <w:bCs/>
      <w:szCs w:val="24"/>
    </w:rPr>
  </w:style>
  <w:style w:type="paragraph" w:customStyle="1" w:styleId="Action">
    <w:name w:val="Action"/>
    <w:qFormat/>
    <w:rsid w:val="000B7DDC"/>
    <w:pPr>
      <w:spacing w:after="200"/>
      <w:ind w:left="1166"/>
    </w:pPr>
    <w:rPr>
      <w:bCs/>
      <w:i/>
      <w:sz w:val="22"/>
      <w:szCs w:val="24"/>
    </w:rPr>
  </w:style>
  <w:style w:type="paragraph" w:customStyle="1" w:styleId="TableHeading">
    <w:name w:val="Table Heading"/>
    <w:basedOn w:val="BodyText"/>
    <w:rsid w:val="000B7DDC"/>
    <w:pPr>
      <w:spacing w:after="240" w:line="240" w:lineRule="auto"/>
      <w:jc w:val="center"/>
    </w:pPr>
    <w:rPr>
      <w:rFonts w:ascii="CG Omega" w:hAnsi="CG Omega"/>
      <w:b/>
      <w:smallCaps/>
      <w:sz w:val="20"/>
      <w:szCs w:val="24"/>
    </w:rPr>
  </w:style>
  <w:style w:type="paragraph" w:customStyle="1" w:styleId="TableSubheading">
    <w:name w:val="Table Subheading"/>
    <w:basedOn w:val="BodyText"/>
    <w:rsid w:val="000B7DDC"/>
    <w:pPr>
      <w:spacing w:before="60" w:after="60" w:line="240" w:lineRule="auto"/>
      <w:jc w:val="center"/>
    </w:pPr>
    <w:rPr>
      <w:rFonts w:ascii="CG Omega" w:hAnsi="CG Omega"/>
      <w:b/>
      <w:sz w:val="18"/>
      <w:szCs w:val="24"/>
    </w:rPr>
  </w:style>
  <w:style w:type="paragraph" w:customStyle="1" w:styleId="Objective">
    <w:name w:val="Objective"/>
    <w:basedOn w:val="Normal"/>
    <w:qFormat/>
    <w:rsid w:val="00D749E7"/>
    <w:pPr>
      <w:spacing w:before="200" w:line="276" w:lineRule="auto"/>
      <w:ind w:left="720" w:hanging="720"/>
      <w:jc w:val="left"/>
    </w:pPr>
    <w:rPr>
      <w:rFonts w:eastAsia="Cambria"/>
      <w:b/>
      <w:i/>
      <w:color w:val="325F64"/>
    </w:rPr>
  </w:style>
  <w:style w:type="paragraph" w:customStyle="1" w:styleId="ColorfulList-Accent11">
    <w:name w:val="Colorful List - Accent 11"/>
    <w:basedOn w:val="Normal"/>
    <w:uiPriority w:val="34"/>
    <w:qFormat/>
    <w:rsid w:val="003B3A16"/>
    <w:pPr>
      <w:spacing w:line="240" w:lineRule="auto"/>
      <w:ind w:left="1080" w:hanging="360"/>
      <w:contextualSpacing/>
    </w:pPr>
  </w:style>
  <w:style w:type="paragraph" w:customStyle="1" w:styleId="ColorfulGrid-Accent12">
    <w:name w:val="Colorful Grid - Accent 12"/>
    <w:basedOn w:val="Normal"/>
    <w:next w:val="Normal"/>
    <w:link w:val="ColorfulGrid-Accent1Char1"/>
    <w:uiPriority w:val="29"/>
    <w:rsid w:val="003B3A16"/>
    <w:pPr>
      <w:spacing w:line="240" w:lineRule="auto"/>
    </w:pPr>
    <w:rPr>
      <w:i/>
      <w:sz w:val="20"/>
      <w:szCs w:val="20"/>
    </w:rPr>
  </w:style>
  <w:style w:type="character" w:customStyle="1" w:styleId="ColorfulGrid-Accent1Char1">
    <w:name w:val="Colorful Grid - Accent 1 Char1"/>
    <w:link w:val="ColorfulGrid-Accent12"/>
    <w:uiPriority w:val="29"/>
    <w:rsid w:val="003B3A16"/>
    <w:rPr>
      <w:i/>
    </w:rPr>
  </w:style>
  <w:style w:type="paragraph" w:styleId="CommentText">
    <w:name w:val="annotation text"/>
    <w:basedOn w:val="Normal"/>
    <w:link w:val="CommentTextChar"/>
    <w:uiPriority w:val="99"/>
    <w:unhideWhenUsed/>
    <w:rsid w:val="003B3A16"/>
    <w:pPr>
      <w:spacing w:line="240" w:lineRule="auto"/>
    </w:pPr>
    <w:rPr>
      <w:sz w:val="20"/>
      <w:szCs w:val="20"/>
    </w:rPr>
  </w:style>
  <w:style w:type="character" w:customStyle="1" w:styleId="CommentTextChar">
    <w:name w:val="Comment Text Char"/>
    <w:basedOn w:val="DefaultParagraphFont"/>
    <w:link w:val="CommentText"/>
    <w:uiPriority w:val="99"/>
    <w:rsid w:val="003B3A16"/>
  </w:style>
  <w:style w:type="paragraph" w:styleId="CommentSubject">
    <w:name w:val="annotation subject"/>
    <w:basedOn w:val="CommentText"/>
    <w:next w:val="CommentText"/>
    <w:link w:val="CommentSubjectChar"/>
    <w:uiPriority w:val="99"/>
    <w:unhideWhenUsed/>
    <w:rsid w:val="003B3A16"/>
    <w:rPr>
      <w:b/>
      <w:bCs/>
    </w:rPr>
  </w:style>
  <w:style w:type="character" w:customStyle="1" w:styleId="CommentSubjectChar">
    <w:name w:val="Comment Subject Char"/>
    <w:link w:val="CommentSubject"/>
    <w:uiPriority w:val="99"/>
    <w:rsid w:val="003B3A16"/>
    <w:rPr>
      <w:b/>
      <w:bCs/>
    </w:rPr>
  </w:style>
  <w:style w:type="paragraph" w:customStyle="1" w:styleId="ColorfulShading-Accent11">
    <w:name w:val="Colorful Shading - Accent 11"/>
    <w:hidden/>
    <w:uiPriority w:val="99"/>
    <w:rsid w:val="003B3A16"/>
    <w:rPr>
      <w:sz w:val="22"/>
      <w:szCs w:val="22"/>
    </w:rPr>
  </w:style>
  <w:style w:type="paragraph" w:styleId="FootnoteText">
    <w:name w:val="footnote text"/>
    <w:basedOn w:val="Normal"/>
    <w:link w:val="FootnoteTextChar"/>
    <w:uiPriority w:val="99"/>
    <w:unhideWhenUsed/>
    <w:rsid w:val="003B3A16"/>
    <w:pPr>
      <w:spacing w:after="0" w:line="240" w:lineRule="auto"/>
      <w:jc w:val="left"/>
    </w:pPr>
    <w:rPr>
      <w:rFonts w:ascii="Arial" w:eastAsia="Calibri" w:hAnsi="Arial"/>
      <w:sz w:val="20"/>
      <w:szCs w:val="20"/>
    </w:rPr>
  </w:style>
  <w:style w:type="character" w:customStyle="1" w:styleId="FootnoteTextChar">
    <w:name w:val="Footnote Text Char"/>
    <w:link w:val="FootnoteText"/>
    <w:uiPriority w:val="99"/>
    <w:rsid w:val="003B3A16"/>
    <w:rPr>
      <w:rFonts w:ascii="Arial" w:eastAsia="Calibri" w:hAnsi="Arial"/>
    </w:rPr>
  </w:style>
  <w:style w:type="character" w:styleId="FootnoteReference">
    <w:name w:val="footnote reference"/>
    <w:uiPriority w:val="99"/>
    <w:unhideWhenUsed/>
    <w:rsid w:val="003B3A16"/>
    <w:rPr>
      <w:vertAlign w:val="superscript"/>
    </w:rPr>
  </w:style>
  <w:style w:type="paragraph" w:styleId="Caption">
    <w:name w:val="caption"/>
    <w:basedOn w:val="Normal"/>
    <w:next w:val="Normal"/>
    <w:uiPriority w:val="35"/>
    <w:qFormat/>
    <w:rsid w:val="003B3A16"/>
    <w:pPr>
      <w:spacing w:line="240" w:lineRule="auto"/>
    </w:pPr>
    <w:rPr>
      <w:b/>
      <w:bCs/>
      <w:sz w:val="20"/>
      <w:szCs w:val="20"/>
    </w:rPr>
  </w:style>
  <w:style w:type="paragraph" w:customStyle="1" w:styleId="Default">
    <w:name w:val="Default"/>
    <w:rsid w:val="003B3A16"/>
    <w:pPr>
      <w:autoSpaceDE w:val="0"/>
      <w:autoSpaceDN w:val="0"/>
      <w:adjustRightInd w:val="0"/>
    </w:pPr>
    <w:rPr>
      <w:rFonts w:ascii="Arial" w:eastAsia="Calibri" w:hAnsi="Arial" w:cs="Arial"/>
      <w:color w:val="000000"/>
      <w:sz w:val="24"/>
      <w:szCs w:val="24"/>
    </w:rPr>
  </w:style>
  <w:style w:type="paragraph" w:customStyle="1" w:styleId="smallcaps">
    <w:name w:val="small caps"/>
    <w:basedOn w:val="Normal"/>
    <w:link w:val="smallcapsChar"/>
    <w:qFormat/>
    <w:rsid w:val="003B3A16"/>
    <w:pPr>
      <w:spacing w:line="240" w:lineRule="auto"/>
      <w:jc w:val="left"/>
    </w:pPr>
    <w:rPr>
      <w:rFonts w:eastAsia="Calibri"/>
      <w:smallCaps/>
      <w:lang w:val="x-none" w:eastAsia="x-none"/>
    </w:rPr>
  </w:style>
  <w:style w:type="character" w:customStyle="1" w:styleId="smallcapsChar">
    <w:name w:val="small caps Char"/>
    <w:link w:val="smallcaps"/>
    <w:rsid w:val="003B3A16"/>
    <w:rPr>
      <w:rFonts w:eastAsia="Calibri"/>
      <w:smallCaps/>
      <w:sz w:val="22"/>
      <w:szCs w:val="22"/>
    </w:rPr>
  </w:style>
  <w:style w:type="paragraph" w:customStyle="1" w:styleId="content1">
    <w:name w:val="content1"/>
    <w:basedOn w:val="Normal"/>
    <w:rsid w:val="003B3A16"/>
    <w:pPr>
      <w:spacing w:beforeLines="1" w:afterLines="1" w:line="240" w:lineRule="auto"/>
      <w:jc w:val="left"/>
    </w:pPr>
    <w:rPr>
      <w:rFonts w:ascii="Times" w:eastAsia="Calibri" w:hAnsi="Times"/>
      <w:sz w:val="20"/>
      <w:szCs w:val="20"/>
    </w:rPr>
  </w:style>
  <w:style w:type="paragraph" w:customStyle="1" w:styleId="incr0">
    <w:name w:val="incr0"/>
    <w:basedOn w:val="Normal"/>
    <w:rsid w:val="003B3A16"/>
    <w:pPr>
      <w:spacing w:beforeLines="1" w:afterLines="1" w:line="240" w:lineRule="auto"/>
      <w:jc w:val="left"/>
    </w:pPr>
    <w:rPr>
      <w:rFonts w:ascii="Times" w:eastAsia="Calibri" w:hAnsi="Times"/>
      <w:sz w:val="20"/>
      <w:szCs w:val="20"/>
    </w:rPr>
  </w:style>
  <w:style w:type="character" w:customStyle="1" w:styleId="paragraphintro">
    <w:name w:val="paragraphintro"/>
    <w:rsid w:val="003B3A16"/>
  </w:style>
  <w:style w:type="paragraph" w:customStyle="1" w:styleId="listintro">
    <w:name w:val="listintro"/>
    <w:basedOn w:val="Normal"/>
    <w:rsid w:val="003B3A16"/>
    <w:pPr>
      <w:spacing w:before="100" w:beforeAutospacing="1" w:after="100" w:afterAutospacing="1" w:line="240" w:lineRule="auto"/>
      <w:jc w:val="left"/>
    </w:pPr>
    <w:rPr>
      <w:rFonts w:ascii="Times" w:eastAsia="Calibri" w:hAnsi="Times"/>
      <w:sz w:val="20"/>
      <w:szCs w:val="20"/>
    </w:rPr>
  </w:style>
  <w:style w:type="character" w:styleId="FollowedHyperlink">
    <w:name w:val="FollowedHyperlink"/>
    <w:rsid w:val="003B3A16"/>
    <w:rPr>
      <w:color w:val="800080"/>
      <w:u w:val="single"/>
    </w:rPr>
  </w:style>
  <w:style w:type="paragraph" w:customStyle="1" w:styleId="BodyTXT">
    <w:name w:val="Body TXT"/>
    <w:basedOn w:val="Normal"/>
    <w:rsid w:val="00A030CA"/>
    <w:pPr>
      <w:spacing w:before="60" w:after="60" w:line="240" w:lineRule="auto"/>
    </w:pPr>
    <w:rPr>
      <w:rFonts w:ascii="Arial" w:eastAsia="Times"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Balloon Text" w:uiPriority="99"/>
    <w:lsdException w:name="Table Grid" w:uiPriority="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82B"/>
    <w:pPr>
      <w:spacing w:after="200" w:line="264" w:lineRule="auto"/>
      <w:jc w:val="both"/>
      <w:pPrChange w:id="1" w:author="Vicki Parker" w:date="2014-07-22T19:28:00Z">
        <w:pPr>
          <w:spacing w:after="200" w:line="264" w:lineRule="auto"/>
          <w:jc w:val="both"/>
        </w:pPr>
      </w:pPrChange>
    </w:pPr>
    <w:rPr>
      <w:sz w:val="22"/>
      <w:szCs w:val="22"/>
      <w:rPrChange w:id="1" w:author="Vicki Parker" w:date="2014-07-22T19:28:00Z">
        <w:rPr>
          <w:rFonts w:ascii="Calibri" w:hAnsi="Calibri"/>
          <w:sz w:val="22"/>
          <w:szCs w:val="22"/>
          <w:lang w:val="en-US" w:eastAsia="en-US" w:bidi="ar-SA"/>
        </w:rPr>
      </w:rPrChange>
    </w:rPr>
  </w:style>
  <w:style w:type="paragraph" w:styleId="Heading1">
    <w:name w:val="heading 1"/>
    <w:basedOn w:val="Normal"/>
    <w:next w:val="Normal"/>
    <w:link w:val="Heading1Char"/>
    <w:uiPriority w:val="9"/>
    <w:qFormat/>
    <w:rsid w:val="00136D27"/>
    <w:pPr>
      <w:spacing w:before="300" w:after="40"/>
      <w:jc w:val="left"/>
      <w:outlineLvl w:val="0"/>
    </w:pPr>
    <w:rPr>
      <w:rFonts w:ascii="Cambria" w:hAnsi="Cambria"/>
      <w:smallCaps/>
      <w:spacing w:val="5"/>
      <w:sz w:val="36"/>
      <w:szCs w:val="36"/>
    </w:rPr>
  </w:style>
  <w:style w:type="paragraph" w:styleId="Heading2">
    <w:name w:val="heading 2"/>
    <w:basedOn w:val="Normal"/>
    <w:next w:val="Normal"/>
    <w:link w:val="Heading2Char"/>
    <w:uiPriority w:val="9"/>
    <w:qFormat/>
    <w:rsid w:val="00136D27"/>
    <w:pPr>
      <w:spacing w:before="240" w:after="80"/>
      <w:jc w:val="left"/>
      <w:outlineLvl w:val="1"/>
    </w:pPr>
    <w:rPr>
      <w:rFonts w:ascii="Cambria" w:hAnsi="Cambria"/>
      <w:smallCaps/>
      <w:spacing w:val="5"/>
      <w:sz w:val="32"/>
      <w:szCs w:val="32"/>
    </w:rPr>
  </w:style>
  <w:style w:type="paragraph" w:styleId="Heading3">
    <w:name w:val="heading 3"/>
    <w:basedOn w:val="Normal"/>
    <w:next w:val="Normal"/>
    <w:link w:val="Heading3Char"/>
    <w:uiPriority w:val="9"/>
    <w:qFormat/>
    <w:rsid w:val="00877B93"/>
    <w:pPr>
      <w:keepNext/>
      <w:pBdr>
        <w:bottom w:val="single" w:sz="4" w:space="1" w:color="auto"/>
      </w:pBdr>
      <w:spacing w:after="60"/>
      <w:jc w:val="left"/>
      <w:outlineLvl w:val="2"/>
    </w:pPr>
    <w:rPr>
      <w:rFonts w:ascii="Cambria" w:hAnsi="Cambria"/>
      <w:smallCaps/>
      <w:spacing w:val="20"/>
      <w:sz w:val="30"/>
      <w:szCs w:val="30"/>
    </w:rPr>
  </w:style>
  <w:style w:type="paragraph" w:styleId="Heading4">
    <w:name w:val="heading 4"/>
    <w:basedOn w:val="Normal"/>
    <w:next w:val="Normal"/>
    <w:link w:val="Heading4Char"/>
    <w:uiPriority w:val="9"/>
    <w:qFormat/>
    <w:rsid w:val="00877B93"/>
    <w:pPr>
      <w:keepNext/>
      <w:spacing w:before="240" w:after="60"/>
      <w:jc w:val="left"/>
      <w:outlineLvl w:val="3"/>
    </w:pPr>
    <w:rPr>
      <w:rFonts w:ascii="Cambria" w:hAnsi="Cambria"/>
      <w:b/>
      <w:sz w:val="26"/>
      <w:szCs w:val="26"/>
    </w:rPr>
  </w:style>
  <w:style w:type="paragraph" w:styleId="Heading5">
    <w:name w:val="heading 5"/>
    <w:basedOn w:val="Normal"/>
    <w:next w:val="Normal"/>
    <w:link w:val="Heading5Char"/>
    <w:uiPriority w:val="9"/>
    <w:qFormat/>
    <w:rsid w:val="00D749E7"/>
    <w:pPr>
      <w:keepNext/>
      <w:spacing w:before="120" w:after="40"/>
      <w:outlineLvl w:val="4"/>
    </w:pPr>
    <w:rPr>
      <w:rFonts w:ascii="Cambria" w:hAnsi="Cambria"/>
      <w:smallCaps/>
      <w:sz w:val="24"/>
    </w:rPr>
  </w:style>
  <w:style w:type="paragraph" w:styleId="Heading6">
    <w:name w:val="heading 6"/>
    <w:basedOn w:val="Normal"/>
    <w:next w:val="Normal"/>
    <w:link w:val="Heading6Char"/>
    <w:uiPriority w:val="9"/>
    <w:qFormat/>
    <w:rsid w:val="00136D27"/>
    <w:pPr>
      <w:spacing w:after="0"/>
      <w:jc w:val="left"/>
      <w:outlineLvl w:val="5"/>
    </w:pPr>
    <w:rPr>
      <w:rFonts w:ascii="Cambria" w:hAnsi="Cambria"/>
      <w:b/>
      <w:i/>
      <w:color w:val="000000"/>
      <w:spacing w:val="5"/>
    </w:rPr>
  </w:style>
  <w:style w:type="paragraph" w:styleId="Heading7">
    <w:name w:val="heading 7"/>
    <w:aliases w:val="Table Title"/>
    <w:basedOn w:val="Normal"/>
    <w:next w:val="Normal"/>
    <w:link w:val="Heading7Char"/>
    <w:uiPriority w:val="9"/>
    <w:qFormat/>
    <w:rsid w:val="00136D27"/>
    <w:pPr>
      <w:spacing w:after="0"/>
      <w:jc w:val="left"/>
      <w:outlineLvl w:val="6"/>
    </w:pPr>
    <w:rPr>
      <w:b/>
      <w:i/>
      <w:smallCaps/>
      <w:color w:val="000000"/>
      <w:spacing w:val="2"/>
    </w:rPr>
  </w:style>
  <w:style w:type="paragraph" w:styleId="Heading8">
    <w:name w:val="heading 8"/>
    <w:aliases w:val="Heading 8 - Table Heading Row"/>
    <w:basedOn w:val="Heading5"/>
    <w:next w:val="Normal"/>
    <w:link w:val="Heading8Char"/>
    <w:uiPriority w:val="9"/>
    <w:qFormat/>
    <w:rsid w:val="00136D27"/>
    <w:pPr>
      <w:spacing w:after="0"/>
      <w:jc w:val="left"/>
      <w:outlineLvl w:val="7"/>
    </w:pPr>
    <w:rPr>
      <w:sz w:val="20"/>
    </w:rPr>
  </w:style>
  <w:style w:type="paragraph" w:styleId="Heading9">
    <w:name w:val="heading 9"/>
    <w:basedOn w:val="Normal"/>
    <w:next w:val="Normal"/>
    <w:link w:val="Heading9Char"/>
    <w:uiPriority w:val="9"/>
    <w:qFormat/>
    <w:rsid w:val="00136D27"/>
    <w:pPr>
      <w:spacing w:after="0"/>
      <w:jc w:val="left"/>
      <w:outlineLvl w:val="8"/>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
    <w:rsid w:val="00477926"/>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
    <w:rsid w:val="00350F4A"/>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D749E7"/>
    <w:rPr>
      <w:rFonts w:ascii="Cambria" w:hAnsi="Cambria"/>
      <w:smallCaps/>
      <w:sz w:val="24"/>
      <w:szCs w:val="22"/>
    </w:rPr>
  </w:style>
  <w:style w:type="character" w:customStyle="1" w:styleId="Heading6Char">
    <w:name w:val="Heading 6 Char"/>
    <w:link w:val="Heading6"/>
    <w:uiPriority w:val="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
    <w:rsid w:val="00477926"/>
    <w:rPr>
      <w:rFonts w:ascii="Cambria" w:eastAsia="Times New Roman" w:hAnsi="Cambria" w:cs="Times New Roman"/>
      <w:smallCaps/>
      <w:sz w:val="20"/>
      <w:szCs w:val="22"/>
      <w:lang w:bidi="ar-SA"/>
    </w:rPr>
  </w:style>
  <w:style w:type="character" w:customStyle="1" w:styleId="Heading9Char">
    <w:name w:val="Heading 9 Char"/>
    <w:link w:val="Heading9"/>
    <w:uiPriority w:val="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iPriority w:val="99"/>
    <w:unhideWhenUsed/>
    <w:rsid w:val="00136D27"/>
    <w:pPr>
      <w:spacing w:after="0" w:line="240" w:lineRule="auto"/>
    </w:pPr>
    <w:rPr>
      <w:rFonts w:ascii="Tahoma" w:hAnsi="Tahoma" w:cs="Tahoma"/>
      <w:sz w:val="16"/>
      <w:szCs w:val="16"/>
    </w:rPr>
  </w:style>
  <w:style w:type="character" w:customStyle="1" w:styleId="BalloonTextChar">
    <w:name w:val="Balloon Text Char"/>
    <w:link w:val="BalloonText"/>
    <w:uiPriority w:val="99"/>
    <w:rsid w:val="00136D27"/>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29"/>
    <w:qFormat/>
    <w:rsid w:val="00136D27"/>
    <w:pPr>
      <w:spacing w:after="160"/>
      <w:ind w:left="2160"/>
    </w:pPr>
    <w:rPr>
      <w:i/>
      <w:iCs/>
      <w:color w:val="0F243E"/>
      <w:szCs w:val="20"/>
      <w:lang w:bidi="en-US"/>
    </w:rPr>
  </w:style>
  <w:style w:type="character" w:styleId="Emphasis">
    <w:name w:val="Emphasis"/>
    <w:uiPriority w:val="20"/>
    <w:qFormat/>
    <w:rsid w:val="00136D27"/>
    <w:rPr>
      <w:i/>
      <w:iCs/>
    </w:rPr>
  </w:style>
  <w:style w:type="paragraph" w:styleId="Footer">
    <w:name w:val="footer"/>
    <w:basedOn w:val="Normal"/>
    <w:link w:val="FooterChar"/>
    <w:uiPriority w:val="99"/>
    <w:unhideWhenUsed/>
    <w:rsid w:val="00136D27"/>
    <w:pPr>
      <w:tabs>
        <w:tab w:val="center" w:pos="4680"/>
        <w:tab w:val="right" w:pos="9360"/>
      </w:tabs>
      <w:spacing w:after="0" w:line="240" w:lineRule="auto"/>
    </w:pPr>
  </w:style>
  <w:style w:type="character" w:customStyle="1" w:styleId="FooterChar">
    <w:name w:val="Footer Char"/>
    <w:link w:val="Footer"/>
    <w:uiPriority w:val="99"/>
    <w:rsid w:val="00136D27"/>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136D27"/>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136D27"/>
    <w:rPr>
      <w:rFonts w:ascii="Cambria" w:eastAsia="Times New Roman" w:hAnsi="Cambria" w:cs="Times New Roman"/>
      <w:smallCaps/>
      <w:spacing w:val="5"/>
      <w:sz w:val="36"/>
      <w:szCs w:val="36"/>
      <w:lang w:bidi="ar-SA"/>
    </w:rPr>
  </w:style>
  <w:style w:type="paragraph" w:customStyle="1" w:styleId="Header-EvenPage">
    <w:name w:val="Header - Even Page"/>
    <w:basedOn w:val="Header"/>
    <w:qFormat/>
    <w:rsid w:val="00136D27"/>
    <w:rPr>
      <w:sz w:val="32"/>
    </w:rPr>
  </w:style>
  <w:style w:type="character" w:styleId="Hyperlink">
    <w:name w:val="Hyperlink"/>
    <w:uiPriority w:val="99"/>
    <w:unhideWhenUsed/>
    <w:rsid w:val="00136D27"/>
    <w:rPr>
      <w:color w:val="0000FF"/>
      <w:u w:val="single"/>
    </w:rPr>
  </w:style>
  <w:style w:type="character" w:customStyle="1" w:styleId="Impact-MMChar">
    <w:name w:val="Impact-MM Char"/>
    <w:rsid w:val="00136D27"/>
    <w:rPr>
      <w:rFonts w:ascii="Century Gothic" w:hAnsi="Century Gothic"/>
      <w:bCs/>
      <w:szCs w:val="24"/>
      <w:lang w:val="en-US" w:eastAsia="en-US" w:bidi="ar-SA"/>
    </w:rPr>
  </w:style>
  <w:style w:type="paragraph" w:styleId="ListBullet">
    <w:name w:val="List Bullet"/>
    <w:basedOn w:val="Normal"/>
    <w:uiPriority w:val="99"/>
    <w:unhideWhenUsed/>
    <w:qFormat/>
    <w:rsid w:val="00136D27"/>
    <w:pPr>
      <w:contextualSpacing/>
    </w:pPr>
  </w:style>
  <w:style w:type="paragraph" w:styleId="ListBullet2">
    <w:name w:val="List Bullet 2"/>
    <w:basedOn w:val="Normal"/>
    <w:uiPriority w:val="99"/>
    <w:unhideWhenUsed/>
    <w:qFormat/>
    <w:rsid w:val="00136D27"/>
    <w:pPr>
      <w:numPr>
        <w:numId w:val="2"/>
      </w:numPr>
      <w:contextualSpacing/>
    </w:pPr>
  </w:style>
  <w:style w:type="paragraph" w:styleId="ListBullet3">
    <w:name w:val="List Bullet 3"/>
    <w:basedOn w:val="Normal"/>
    <w:uiPriority w:val="99"/>
    <w:unhideWhenUsed/>
    <w:qFormat/>
    <w:rsid w:val="00136D27"/>
    <w:pPr>
      <w:tabs>
        <w:tab w:val="num" w:pos="1080"/>
      </w:tabs>
      <w:ind w:left="1080" w:hanging="360"/>
      <w:contextualSpacing/>
    </w:pPr>
  </w:style>
  <w:style w:type="paragraph" w:styleId="ListNumber">
    <w:name w:val="List Number"/>
    <w:basedOn w:val="Normal"/>
    <w:uiPriority w:val="99"/>
    <w:unhideWhenUsed/>
    <w:rsid w:val="00136D27"/>
    <w:pPr>
      <w:tabs>
        <w:tab w:val="num" w:pos="360"/>
      </w:tabs>
      <w:ind w:left="360" w:hanging="360"/>
      <w:contextualSpacing/>
    </w:pPr>
  </w:style>
  <w:style w:type="paragraph" w:styleId="ListNumber2">
    <w:name w:val="List Number 2"/>
    <w:basedOn w:val="Normal"/>
    <w:uiPriority w:val="99"/>
    <w:unhideWhenUsed/>
    <w:rsid w:val="00136D27"/>
    <w:pPr>
      <w:tabs>
        <w:tab w:val="num" w:pos="720"/>
      </w:tabs>
      <w:ind w:left="720" w:hanging="360"/>
      <w:contextualSpacing/>
    </w:pPr>
  </w:style>
  <w:style w:type="paragraph" w:styleId="ListNumber3">
    <w:name w:val="List Number 3"/>
    <w:basedOn w:val="Normal"/>
    <w:uiPriority w:val="99"/>
    <w:unhideWhenUsed/>
    <w:rsid w:val="00136D27"/>
    <w:pPr>
      <w:tabs>
        <w:tab w:val="num" w:pos="1080"/>
      </w:tabs>
      <w:ind w:left="1080" w:hanging="360"/>
      <w:contextualSpacing/>
    </w:pPr>
  </w:style>
  <w:style w:type="paragraph" w:customStyle="1" w:styleId="MediumGrid1-Accent21">
    <w:name w:val="Medium Grid 1 - Accent 21"/>
    <w:basedOn w:val="Normal"/>
    <w:uiPriority w:val="34"/>
    <w:qFormat/>
    <w:rsid w:val="00136D27"/>
    <w:pPr>
      <w:ind w:left="1080" w:hanging="360"/>
      <w:contextualSpacing/>
    </w:pPr>
  </w:style>
  <w:style w:type="paragraph" w:customStyle="1" w:styleId="MediumGrid21">
    <w:name w:val="Medium Grid 21"/>
    <w:uiPriority w:val="1"/>
    <w:qFormat/>
    <w:rsid w:val="00136D27"/>
    <w:pPr>
      <w:jc w:val="both"/>
    </w:pPr>
    <w:rPr>
      <w:sz w:val="22"/>
      <w:szCs w:val="22"/>
    </w:rPr>
  </w:style>
  <w:style w:type="paragraph" w:styleId="NormalWeb">
    <w:name w:val="Normal (Web)"/>
    <w:basedOn w:val="Normal"/>
    <w:uiPriority w:val="99"/>
    <w:unhideWhenUsed/>
    <w:rsid w:val="00136D27"/>
    <w:pPr>
      <w:spacing w:before="168" w:after="216" w:line="240" w:lineRule="auto"/>
      <w:jc w:val="left"/>
    </w:pPr>
    <w:rPr>
      <w:rFonts w:ascii="Times New Roman" w:hAnsi="Times New Roman"/>
      <w:sz w:val="24"/>
      <w:szCs w:val="24"/>
    </w:rPr>
  </w:style>
  <w:style w:type="paragraph" w:customStyle="1" w:styleId="MediumGrid2-Accent21">
    <w:name w:val="Medium Grid 2 - Accent 21"/>
    <w:basedOn w:val="Normal"/>
    <w:next w:val="Normal"/>
    <w:link w:val="MediumGrid2-Accent2Char"/>
    <w:uiPriority w:val="29"/>
    <w:rsid w:val="00136D27"/>
    <w:rPr>
      <w:i/>
    </w:rPr>
  </w:style>
  <w:style w:type="character" w:customStyle="1" w:styleId="MediumGrid2-Accent2Char">
    <w:name w:val="Medium Grid 2 - Accent 2 Char"/>
    <w:link w:val="MediumGrid2-Accent21"/>
    <w:uiPriority w:val="29"/>
    <w:rsid w:val="00136D27"/>
    <w:rPr>
      <w:rFonts w:ascii="Calibri" w:eastAsia="Times New Roman" w:hAnsi="Calibri" w:cs="Times New Roman"/>
      <w:i/>
      <w:sz w:val="22"/>
      <w:szCs w:val="22"/>
      <w:lang w:bidi="ar-SA"/>
    </w:rPr>
  </w:style>
  <w:style w:type="paragraph" w:customStyle="1" w:styleId="Source">
    <w:name w:val="Source"/>
    <w:next w:val="Normal"/>
    <w:qFormat/>
    <w:rsid w:val="00136D27"/>
    <w:pPr>
      <w:spacing w:after="160" w:line="288" w:lineRule="auto"/>
      <w:ind w:left="90"/>
      <w:jc w:val="both"/>
    </w:pPr>
    <w:rPr>
      <w:i/>
      <w:iCs/>
      <w:smallCaps/>
      <w:lang w:bidi="en-US"/>
    </w:rPr>
  </w:style>
  <w:style w:type="character" w:customStyle="1" w:styleId="SubtleEmphasis1">
    <w:name w:val="Subtle Emphasis1"/>
    <w:uiPriority w:val="19"/>
    <w:qFormat/>
    <w:rsid w:val="00136D27"/>
    <w:rPr>
      <w:i/>
      <w:iCs/>
      <w:color w:val="808080"/>
    </w:rPr>
  </w:style>
  <w:style w:type="character" w:customStyle="1" w:styleId="SubtleEmphasis10">
    <w:name w:val="Subtle Emphasis1"/>
    <w:uiPriority w:val="19"/>
    <w:qFormat/>
    <w:rsid w:val="00136D27"/>
    <w:rPr>
      <w:smallCaps/>
      <w:dstrike w:val="0"/>
      <w:color w:val="5A5A5A"/>
      <w:vertAlign w:val="baseline"/>
    </w:rPr>
  </w:style>
  <w:style w:type="table" w:styleId="TableGrid">
    <w:name w:val="Table Grid"/>
    <w:basedOn w:val="TableNormal"/>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575714"/>
    <w:pPr>
      <w:shd w:val="clear" w:color="auto" w:fill="D9D9D9"/>
      <w:jc w:val="center"/>
    </w:pPr>
    <w:rPr>
      <w:i/>
    </w:rPr>
  </w:style>
  <w:style w:type="paragraph" w:customStyle="1" w:styleId="TableText">
    <w:name w:val="Table Text"/>
    <w:basedOn w:val="Normal"/>
    <w:rsid w:val="00136D27"/>
    <w:pPr>
      <w:spacing w:before="120" w:after="120" w:line="240" w:lineRule="auto"/>
    </w:pPr>
    <w:rPr>
      <w:rFonts w:ascii="Cambria" w:hAnsi="Cambria"/>
      <w:sz w:val="18"/>
      <w:szCs w:val="18"/>
    </w:rPr>
  </w:style>
  <w:style w:type="paragraph" w:customStyle="1" w:styleId="TextBox">
    <w:name w:val="Text Box"/>
    <w:basedOn w:val="Normal"/>
    <w:rsid w:val="00136D27"/>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39"/>
    <w:unhideWhenUsed/>
    <w:qFormat/>
    <w:rsid w:val="00136D27"/>
    <w:pPr>
      <w:outlineLvl w:val="9"/>
    </w:pPr>
  </w:style>
  <w:style w:type="paragraph" w:customStyle="1" w:styleId="TOCHeading10">
    <w:name w:val="TOC Heading1"/>
    <w:basedOn w:val="Heading1"/>
    <w:next w:val="Normal"/>
    <w:uiPriority w:val="39"/>
    <w:unhideWhenUsed/>
    <w:qFormat/>
    <w:rsid w:val="00136D27"/>
  </w:style>
  <w:style w:type="paragraph" w:customStyle="1" w:styleId="MediumList2-Accent21">
    <w:name w:val="Medium List 2 - Accent 21"/>
    <w:hidden/>
    <w:rsid w:val="00BF1663"/>
    <w:rPr>
      <w:sz w:val="22"/>
      <w:szCs w:val="22"/>
    </w:rPr>
  </w:style>
  <w:style w:type="paragraph" w:styleId="BodyText">
    <w:name w:val="Body Text"/>
    <w:basedOn w:val="Normal"/>
    <w:link w:val="BodyTextChar"/>
    <w:rsid w:val="0090285B"/>
    <w:pPr>
      <w:spacing w:after="120"/>
    </w:pPr>
  </w:style>
  <w:style w:type="character" w:customStyle="1" w:styleId="BodyTextChar">
    <w:name w:val="Body Text Char"/>
    <w:link w:val="BodyText"/>
    <w:rsid w:val="0090285B"/>
    <w:rPr>
      <w:sz w:val="22"/>
      <w:szCs w:val="22"/>
    </w:rPr>
  </w:style>
  <w:style w:type="character" w:styleId="Strong">
    <w:name w:val="Strong"/>
    <w:uiPriority w:val="22"/>
    <w:qFormat/>
    <w:rsid w:val="0090285B"/>
    <w:rPr>
      <w:b/>
      <w:bCs/>
    </w:rPr>
  </w:style>
  <w:style w:type="character" w:styleId="CommentReference">
    <w:name w:val="annotation reference"/>
    <w:uiPriority w:val="99"/>
    <w:unhideWhenUsed/>
    <w:rsid w:val="007920F5"/>
    <w:rPr>
      <w:sz w:val="16"/>
      <w:szCs w:val="16"/>
    </w:rPr>
  </w:style>
  <w:style w:type="paragraph" w:customStyle="1" w:styleId="Policy">
    <w:name w:val="Policy"/>
    <w:basedOn w:val="Normal"/>
    <w:qFormat/>
    <w:rsid w:val="000B7DDC"/>
    <w:pPr>
      <w:tabs>
        <w:tab w:val="left" w:pos="720"/>
      </w:tabs>
      <w:spacing w:after="240" w:line="240" w:lineRule="auto"/>
      <w:ind w:left="720"/>
    </w:pPr>
    <w:rPr>
      <w:bCs/>
      <w:szCs w:val="24"/>
    </w:rPr>
  </w:style>
  <w:style w:type="paragraph" w:customStyle="1" w:styleId="Action">
    <w:name w:val="Action"/>
    <w:qFormat/>
    <w:rsid w:val="000B7DDC"/>
    <w:pPr>
      <w:spacing w:after="200"/>
      <w:ind w:left="1166"/>
    </w:pPr>
    <w:rPr>
      <w:bCs/>
      <w:i/>
      <w:sz w:val="22"/>
      <w:szCs w:val="24"/>
    </w:rPr>
  </w:style>
  <w:style w:type="paragraph" w:customStyle="1" w:styleId="TableHeading">
    <w:name w:val="Table Heading"/>
    <w:basedOn w:val="BodyText"/>
    <w:rsid w:val="000B7DDC"/>
    <w:pPr>
      <w:spacing w:after="240" w:line="240" w:lineRule="auto"/>
      <w:jc w:val="center"/>
    </w:pPr>
    <w:rPr>
      <w:rFonts w:ascii="CG Omega" w:hAnsi="CG Omega"/>
      <w:b/>
      <w:smallCaps/>
      <w:sz w:val="20"/>
      <w:szCs w:val="24"/>
    </w:rPr>
  </w:style>
  <w:style w:type="paragraph" w:customStyle="1" w:styleId="TableSubheading">
    <w:name w:val="Table Subheading"/>
    <w:basedOn w:val="BodyText"/>
    <w:rsid w:val="000B7DDC"/>
    <w:pPr>
      <w:spacing w:before="60" w:after="60" w:line="240" w:lineRule="auto"/>
      <w:jc w:val="center"/>
    </w:pPr>
    <w:rPr>
      <w:rFonts w:ascii="CG Omega" w:hAnsi="CG Omega"/>
      <w:b/>
      <w:sz w:val="18"/>
      <w:szCs w:val="24"/>
    </w:rPr>
  </w:style>
  <w:style w:type="paragraph" w:customStyle="1" w:styleId="Objective">
    <w:name w:val="Objective"/>
    <w:basedOn w:val="Normal"/>
    <w:qFormat/>
    <w:rsid w:val="00D749E7"/>
    <w:pPr>
      <w:spacing w:before="200" w:line="276" w:lineRule="auto"/>
      <w:ind w:left="720" w:hanging="720"/>
      <w:jc w:val="left"/>
    </w:pPr>
    <w:rPr>
      <w:rFonts w:eastAsia="Cambria"/>
      <w:b/>
      <w:i/>
      <w:color w:val="325F64"/>
    </w:rPr>
  </w:style>
  <w:style w:type="paragraph" w:customStyle="1" w:styleId="ColorfulList-Accent11">
    <w:name w:val="Colorful List - Accent 11"/>
    <w:basedOn w:val="Normal"/>
    <w:uiPriority w:val="34"/>
    <w:qFormat/>
    <w:rsid w:val="003B3A16"/>
    <w:pPr>
      <w:spacing w:line="240" w:lineRule="auto"/>
      <w:ind w:left="1080" w:hanging="360"/>
      <w:contextualSpacing/>
    </w:pPr>
  </w:style>
  <w:style w:type="paragraph" w:customStyle="1" w:styleId="ColorfulGrid-Accent12">
    <w:name w:val="Colorful Grid - Accent 12"/>
    <w:basedOn w:val="Normal"/>
    <w:next w:val="Normal"/>
    <w:link w:val="ColorfulGrid-Accent1Char1"/>
    <w:uiPriority w:val="29"/>
    <w:rsid w:val="003B3A16"/>
    <w:pPr>
      <w:spacing w:line="240" w:lineRule="auto"/>
    </w:pPr>
    <w:rPr>
      <w:i/>
      <w:sz w:val="20"/>
      <w:szCs w:val="20"/>
    </w:rPr>
  </w:style>
  <w:style w:type="character" w:customStyle="1" w:styleId="ColorfulGrid-Accent1Char1">
    <w:name w:val="Colorful Grid - Accent 1 Char1"/>
    <w:link w:val="ColorfulGrid-Accent12"/>
    <w:uiPriority w:val="29"/>
    <w:rsid w:val="003B3A16"/>
    <w:rPr>
      <w:i/>
    </w:rPr>
  </w:style>
  <w:style w:type="paragraph" w:styleId="CommentText">
    <w:name w:val="annotation text"/>
    <w:basedOn w:val="Normal"/>
    <w:link w:val="CommentTextChar"/>
    <w:uiPriority w:val="99"/>
    <w:unhideWhenUsed/>
    <w:rsid w:val="003B3A16"/>
    <w:pPr>
      <w:spacing w:line="240" w:lineRule="auto"/>
    </w:pPr>
    <w:rPr>
      <w:sz w:val="20"/>
      <w:szCs w:val="20"/>
    </w:rPr>
  </w:style>
  <w:style w:type="character" w:customStyle="1" w:styleId="CommentTextChar">
    <w:name w:val="Comment Text Char"/>
    <w:basedOn w:val="DefaultParagraphFont"/>
    <w:link w:val="CommentText"/>
    <w:uiPriority w:val="99"/>
    <w:rsid w:val="003B3A16"/>
  </w:style>
  <w:style w:type="paragraph" w:styleId="CommentSubject">
    <w:name w:val="annotation subject"/>
    <w:basedOn w:val="CommentText"/>
    <w:next w:val="CommentText"/>
    <w:link w:val="CommentSubjectChar"/>
    <w:uiPriority w:val="99"/>
    <w:unhideWhenUsed/>
    <w:rsid w:val="003B3A16"/>
    <w:rPr>
      <w:b/>
      <w:bCs/>
    </w:rPr>
  </w:style>
  <w:style w:type="character" w:customStyle="1" w:styleId="CommentSubjectChar">
    <w:name w:val="Comment Subject Char"/>
    <w:link w:val="CommentSubject"/>
    <w:uiPriority w:val="99"/>
    <w:rsid w:val="003B3A16"/>
    <w:rPr>
      <w:b/>
      <w:bCs/>
    </w:rPr>
  </w:style>
  <w:style w:type="paragraph" w:customStyle="1" w:styleId="ColorfulShading-Accent11">
    <w:name w:val="Colorful Shading - Accent 11"/>
    <w:hidden/>
    <w:uiPriority w:val="99"/>
    <w:rsid w:val="003B3A16"/>
    <w:rPr>
      <w:sz w:val="22"/>
      <w:szCs w:val="22"/>
    </w:rPr>
  </w:style>
  <w:style w:type="paragraph" w:styleId="FootnoteText">
    <w:name w:val="footnote text"/>
    <w:basedOn w:val="Normal"/>
    <w:link w:val="FootnoteTextChar"/>
    <w:uiPriority w:val="99"/>
    <w:unhideWhenUsed/>
    <w:rsid w:val="003B3A16"/>
    <w:pPr>
      <w:spacing w:after="0" w:line="240" w:lineRule="auto"/>
      <w:jc w:val="left"/>
    </w:pPr>
    <w:rPr>
      <w:rFonts w:ascii="Arial" w:eastAsia="Calibri" w:hAnsi="Arial"/>
      <w:sz w:val="20"/>
      <w:szCs w:val="20"/>
    </w:rPr>
  </w:style>
  <w:style w:type="character" w:customStyle="1" w:styleId="FootnoteTextChar">
    <w:name w:val="Footnote Text Char"/>
    <w:link w:val="FootnoteText"/>
    <w:uiPriority w:val="99"/>
    <w:rsid w:val="003B3A16"/>
    <w:rPr>
      <w:rFonts w:ascii="Arial" w:eastAsia="Calibri" w:hAnsi="Arial"/>
    </w:rPr>
  </w:style>
  <w:style w:type="character" w:styleId="FootnoteReference">
    <w:name w:val="footnote reference"/>
    <w:uiPriority w:val="99"/>
    <w:unhideWhenUsed/>
    <w:rsid w:val="003B3A16"/>
    <w:rPr>
      <w:vertAlign w:val="superscript"/>
    </w:rPr>
  </w:style>
  <w:style w:type="paragraph" w:styleId="Caption">
    <w:name w:val="caption"/>
    <w:basedOn w:val="Normal"/>
    <w:next w:val="Normal"/>
    <w:uiPriority w:val="35"/>
    <w:qFormat/>
    <w:rsid w:val="003B3A16"/>
    <w:pPr>
      <w:spacing w:line="240" w:lineRule="auto"/>
    </w:pPr>
    <w:rPr>
      <w:b/>
      <w:bCs/>
      <w:sz w:val="20"/>
      <w:szCs w:val="20"/>
    </w:rPr>
  </w:style>
  <w:style w:type="paragraph" w:customStyle="1" w:styleId="Default">
    <w:name w:val="Default"/>
    <w:rsid w:val="003B3A16"/>
    <w:pPr>
      <w:autoSpaceDE w:val="0"/>
      <w:autoSpaceDN w:val="0"/>
      <w:adjustRightInd w:val="0"/>
    </w:pPr>
    <w:rPr>
      <w:rFonts w:ascii="Arial" w:eastAsia="Calibri" w:hAnsi="Arial" w:cs="Arial"/>
      <w:color w:val="000000"/>
      <w:sz w:val="24"/>
      <w:szCs w:val="24"/>
    </w:rPr>
  </w:style>
  <w:style w:type="paragraph" w:customStyle="1" w:styleId="smallcaps">
    <w:name w:val="small caps"/>
    <w:basedOn w:val="Normal"/>
    <w:link w:val="smallcapsChar"/>
    <w:qFormat/>
    <w:rsid w:val="003B3A16"/>
    <w:pPr>
      <w:spacing w:line="240" w:lineRule="auto"/>
      <w:jc w:val="left"/>
    </w:pPr>
    <w:rPr>
      <w:rFonts w:eastAsia="Calibri"/>
      <w:smallCaps/>
      <w:lang w:val="x-none" w:eastAsia="x-none"/>
    </w:rPr>
  </w:style>
  <w:style w:type="character" w:customStyle="1" w:styleId="smallcapsChar">
    <w:name w:val="small caps Char"/>
    <w:link w:val="smallcaps"/>
    <w:rsid w:val="003B3A16"/>
    <w:rPr>
      <w:rFonts w:eastAsia="Calibri"/>
      <w:smallCaps/>
      <w:sz w:val="22"/>
      <w:szCs w:val="22"/>
    </w:rPr>
  </w:style>
  <w:style w:type="paragraph" w:customStyle="1" w:styleId="content1">
    <w:name w:val="content1"/>
    <w:basedOn w:val="Normal"/>
    <w:rsid w:val="003B3A16"/>
    <w:pPr>
      <w:spacing w:beforeLines="1" w:afterLines="1" w:line="240" w:lineRule="auto"/>
      <w:jc w:val="left"/>
    </w:pPr>
    <w:rPr>
      <w:rFonts w:ascii="Times" w:eastAsia="Calibri" w:hAnsi="Times"/>
      <w:sz w:val="20"/>
      <w:szCs w:val="20"/>
    </w:rPr>
  </w:style>
  <w:style w:type="paragraph" w:customStyle="1" w:styleId="incr0">
    <w:name w:val="incr0"/>
    <w:basedOn w:val="Normal"/>
    <w:rsid w:val="003B3A16"/>
    <w:pPr>
      <w:spacing w:beforeLines="1" w:afterLines="1" w:line="240" w:lineRule="auto"/>
      <w:jc w:val="left"/>
    </w:pPr>
    <w:rPr>
      <w:rFonts w:ascii="Times" w:eastAsia="Calibri" w:hAnsi="Times"/>
      <w:sz w:val="20"/>
      <w:szCs w:val="20"/>
    </w:rPr>
  </w:style>
  <w:style w:type="character" w:customStyle="1" w:styleId="paragraphintro">
    <w:name w:val="paragraphintro"/>
    <w:rsid w:val="003B3A16"/>
  </w:style>
  <w:style w:type="paragraph" w:customStyle="1" w:styleId="listintro">
    <w:name w:val="listintro"/>
    <w:basedOn w:val="Normal"/>
    <w:rsid w:val="003B3A16"/>
    <w:pPr>
      <w:spacing w:before="100" w:beforeAutospacing="1" w:after="100" w:afterAutospacing="1" w:line="240" w:lineRule="auto"/>
      <w:jc w:val="left"/>
    </w:pPr>
    <w:rPr>
      <w:rFonts w:ascii="Times" w:eastAsia="Calibri" w:hAnsi="Times"/>
      <w:sz w:val="20"/>
      <w:szCs w:val="20"/>
    </w:rPr>
  </w:style>
  <w:style w:type="character" w:styleId="FollowedHyperlink">
    <w:name w:val="FollowedHyperlink"/>
    <w:rsid w:val="003B3A16"/>
    <w:rPr>
      <w:color w:val="800080"/>
      <w:u w:val="single"/>
    </w:rPr>
  </w:style>
  <w:style w:type="paragraph" w:customStyle="1" w:styleId="BodyTXT">
    <w:name w:val="Body TXT"/>
    <w:basedOn w:val="Normal"/>
    <w:rsid w:val="00A030CA"/>
    <w:pPr>
      <w:spacing w:before="60" w:after="60" w:line="240" w:lineRule="auto"/>
    </w:pPr>
    <w:rPr>
      <w:rFonts w:ascii="Arial" w:eastAsia="Times"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yclenow.org/agency/waste_stream_profiles.as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nicycler.com/commercial/sonoma/cotati"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ci.santa-rosa.ca.us/departments/utilities/treatment/treatment/Pages/proces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6764C935</Template>
  <TotalTime>0</TotalTime>
  <Pages>48</Pages>
  <Words>18670</Words>
  <Characters>106423</Characters>
  <Application>Microsoft Office Word</Application>
  <DocSecurity>4</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Pacific Portraits by Amber</Company>
  <LinksUpToDate>false</LinksUpToDate>
  <CharactersWithSpaces>124844</CharactersWithSpaces>
  <SharedDoc>false</SharedDoc>
  <HLinks>
    <vt:vector size="24" baseType="variant">
      <vt:variant>
        <vt:i4>1310721</vt:i4>
      </vt:variant>
      <vt:variant>
        <vt:i4>6</vt:i4>
      </vt:variant>
      <vt:variant>
        <vt:i4>0</vt:i4>
      </vt:variant>
      <vt:variant>
        <vt:i4>5</vt:i4>
      </vt:variant>
      <vt:variant>
        <vt:lpwstr>http://www.recyclenow.org/agency/waste_stream_profiles.asp</vt:lpwstr>
      </vt:variant>
      <vt:variant>
        <vt:lpwstr/>
      </vt:variant>
      <vt:variant>
        <vt:i4>1704008</vt:i4>
      </vt:variant>
      <vt:variant>
        <vt:i4>3</vt:i4>
      </vt:variant>
      <vt:variant>
        <vt:i4>0</vt:i4>
      </vt:variant>
      <vt:variant>
        <vt:i4>5</vt:i4>
      </vt:variant>
      <vt:variant>
        <vt:lpwstr>http://unicycler.com/commercial/sonoma/cotati</vt:lpwstr>
      </vt:variant>
      <vt:variant>
        <vt:lpwstr/>
      </vt:variant>
      <vt:variant>
        <vt:i4>1310721</vt:i4>
      </vt:variant>
      <vt:variant>
        <vt:i4>0</vt:i4>
      </vt:variant>
      <vt:variant>
        <vt:i4>0</vt:i4>
      </vt:variant>
      <vt:variant>
        <vt:i4>5</vt:i4>
      </vt:variant>
      <vt:variant>
        <vt:lpwstr>http://www.recyclenow.org/agency/waste_stream_profiles.asp</vt:lpwstr>
      </vt:variant>
      <vt:variant>
        <vt:lpwstr/>
      </vt:variant>
      <vt:variant>
        <vt:i4>7012468</vt:i4>
      </vt:variant>
      <vt:variant>
        <vt:i4>0</vt:i4>
      </vt:variant>
      <vt:variant>
        <vt:i4>0</vt:i4>
      </vt:variant>
      <vt:variant>
        <vt:i4>5</vt:i4>
      </vt:variant>
      <vt:variant>
        <vt:lpwstr>http://ci.santa-rosa.ca.us/departments/utilities/treatment/treatment/Pages/process.aspx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 Amber McMurtry</dc:creator>
  <cp:lastModifiedBy>Vicki Parker</cp:lastModifiedBy>
  <cp:revision>2</cp:revision>
  <cp:lastPrinted>2014-07-23T00:56:00Z</cp:lastPrinted>
  <dcterms:created xsi:type="dcterms:W3CDTF">2015-08-07T22:18:00Z</dcterms:created>
  <dcterms:modified xsi:type="dcterms:W3CDTF">2015-08-07T22:18:00Z</dcterms:modified>
</cp:coreProperties>
</file>