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1CA" w:rsidRPr="00A42D11" w:rsidRDefault="005A21CA" w:rsidP="005A21CA">
      <w:pPr>
        <w:rPr>
          <w:highlight w:val="yellow"/>
        </w:rPr>
      </w:pPr>
      <w:bookmarkStart w:id="0" w:name="_GoBack"/>
      <w:bookmarkEnd w:id="0"/>
      <w:r w:rsidRPr="00801DAF">
        <w:t xml:space="preserve">This section describes the regional air quality, current attainment status of the air basin, local sensitive receptors, emission sources, and impacts that are likely to result from project implementation. </w:t>
      </w:r>
    </w:p>
    <w:p w:rsidR="005A21CA" w:rsidRPr="007E390C" w:rsidRDefault="005A21CA" w:rsidP="005A21CA">
      <w:pPr>
        <w:pStyle w:val="Heading2"/>
      </w:pPr>
      <w:r>
        <w:t>3.2</w:t>
      </w:r>
      <w:r w:rsidRPr="007E390C">
        <w:t xml:space="preserve">.1 Existing Setting </w:t>
      </w:r>
    </w:p>
    <w:p w:rsidR="005A21CA" w:rsidRPr="007E390C" w:rsidRDefault="005A21CA" w:rsidP="005A21CA">
      <w:pPr>
        <w:pStyle w:val="Heading3"/>
      </w:pPr>
      <w:r w:rsidRPr="007E390C">
        <w:t>San Francisco Bay Area Air Basin</w:t>
      </w:r>
    </w:p>
    <w:p w:rsidR="005A21CA" w:rsidRPr="004A1DA1" w:rsidRDefault="005A21CA" w:rsidP="005A21CA">
      <w:r w:rsidRPr="007E390C">
        <w:t>The City of Cotati is located within the San Francisco Bay Area Air Basin (Air Basin). The Air Basin encompasses approximately 5,600 square miles and includes all of Alameda, Contra Costa, Marin, San Francisco, San Mateo, Santa Clara, and Napa Counties, and portions of southwestern Solano and southern Sonoma counties. The Air Basin is characterized by a large, shallow basin surrounded by coastal mountain ranges tapering into sheltered inland valleys. The combined climatic and topographic factors result in increased</w:t>
      </w:r>
      <w:r w:rsidRPr="004A1DA1">
        <w:t xml:space="preserve"> potential for the accumulation of air pollutants in the inland valleys and reduced potential for buildup of air pollutants along the coast. The Air Basin is bounded by the Pacific Ocean to the west and includes complex terrain consisting of coastal mountain ranges, inland valleys and bays.</w:t>
      </w:r>
    </w:p>
    <w:p w:rsidR="005A21CA" w:rsidRDefault="005A21CA" w:rsidP="005A21CA">
      <w:pPr>
        <w:pStyle w:val="Heading4"/>
      </w:pPr>
      <w:r>
        <w:t>Cotati and Petaluma Valleys</w:t>
      </w:r>
    </w:p>
    <w:p w:rsidR="005A21CA" w:rsidRPr="00B519BB" w:rsidRDefault="005A21CA" w:rsidP="005A21CA">
      <w:r w:rsidRPr="00B519BB">
        <w:t xml:space="preserve">The valley that stretches from Santa Rosa to the San Pablo Bay is known as the Cotati Valley at the north end and the Petaluma Valley at the south end. Some maps show the whole area as the Petaluma Valley. The largest city in the Cotati Valley is Santa Rosa and in the Petaluma Valley is Petaluma. To the east, the valley is bordered by the Sonoma Mountains, with the San Pablo Bay at the southeast end of the valley. To the immediate west are a series of low hills and further west are the Estero Lowlands, which opens to the Pacific Ocean. The region from the Estero Lowlands to the San Pablo Bay is known as the Petaluma Gap. This low-terrain area is a major transport corridor allowing marine air to pass into the Bay Area. </w:t>
      </w:r>
      <w:r>
        <w:t>(BAAQMD, 2011).</w:t>
      </w:r>
    </w:p>
    <w:p w:rsidR="005A21CA" w:rsidRPr="00100332" w:rsidRDefault="005A21CA" w:rsidP="005A21CA">
      <w:r w:rsidRPr="00100332">
        <w:rPr>
          <w:b/>
        </w:rPr>
        <w:t xml:space="preserve">Air </w:t>
      </w:r>
      <w:r>
        <w:rPr>
          <w:b/>
        </w:rPr>
        <w:t>Patterns</w:t>
      </w:r>
      <w:r w:rsidRPr="00100332">
        <w:rPr>
          <w:b/>
        </w:rPr>
        <w:t>:</w:t>
      </w:r>
      <w:r w:rsidRPr="00100332">
        <w:t xml:space="preserve"> </w:t>
      </w:r>
      <w:r>
        <w:t>Air</w:t>
      </w:r>
      <w:r w:rsidRPr="00100332">
        <w:t xml:space="preserve"> patterns in the Petaluma and Cotati Valleys are strongly influenced by the Petaluma Gap. The predominant wind pattern in this region is for marine air to move eastward through the Petaluma Gap, then to split into northward and southward paths as it moves into the Cotati and Petaluma valleys. The southward path crosses the San Pablo Bay and moves eastward through the Carquinez Straits. Consequently, although Santa Rosa and Petaluma are only 16 miles apart, their predominate wind patterns are quite different. Santa Rosa's prevailing winds are out of the south and southeast, while Petaluma's prevailing winds are out of the northwest. When the ocean breeze is weak, a bay breeze pattern can also occur, resulting in east winds near the bay. Strong winds from the east occur as part of a larger scale pattern and often carry pollutants picked up along the trajectory through the Central Valley and the Carquinez Straits. During these periods, upvalley flows can carry the polluted air as far north as Santa Rosa. (BAAQMD, 2011).</w:t>
      </w:r>
    </w:p>
    <w:p w:rsidR="005A21CA" w:rsidRDefault="005A21CA" w:rsidP="005A21CA">
      <w:pPr>
        <w:rPr>
          <w:highlight w:val="green"/>
        </w:rPr>
      </w:pPr>
      <w:r w:rsidRPr="00100332">
        <w:t xml:space="preserve">Winds are usually stronger in the Petaluma Valley than the Cotati Valley because it is part of the Petaluma Gap. The low terrain in the Petaluma Gap does not offer much resistance to the marine air as it flows to the San Pablo Bay. Consequently, even though Petaluma is 28 miles from the ocean, its climate is similar to areas closer to the coast. Average annual wind speeds at the </w:t>
      </w:r>
      <w:r w:rsidRPr="00100332">
        <w:lastRenderedPageBreak/>
        <w:t>Petaluma Airport are seven mph. This is almost identical to the average annual wind speed measured in Valley Ford, 5 miles from the coast. Winds are light in the morning in the Petaluma Valley, and become windy in the afternoon as the sea breeze arrives. The Cotati Valley, being slightly north of the Petaluma Gap experiences lower wind speeds. In Santa Rosa, the annual average wind speed is 5.4 mph. (BAAQMD,</w:t>
      </w:r>
      <w:r>
        <w:t xml:space="preserve"> 2011).</w:t>
      </w:r>
    </w:p>
    <w:p w:rsidR="005A21CA" w:rsidRPr="00100332" w:rsidRDefault="005A21CA" w:rsidP="005A21CA">
      <w:r w:rsidRPr="00100332">
        <w:rPr>
          <w:b/>
        </w:rPr>
        <w:t>Inversions:</w:t>
      </w:r>
      <w:r w:rsidRPr="00100332">
        <w:t xml:space="preserve"> During summer afternoons, the fetch across the Petaluma Gap is sufficiently long so that the marine air is warmed and the fog evaporated before it reaches the Petaluma and Cotati valleys. As the surface heating weakens in the late afternoon, the marine layer becomes less heated with distance, and eventually fog is able to form in these valleys. The fog may then persist until late in the morning the next day. (BAAQMD, 2011).</w:t>
      </w:r>
    </w:p>
    <w:p w:rsidR="005A21CA" w:rsidRPr="00100332" w:rsidRDefault="005A21CA" w:rsidP="005A21CA">
      <w:r w:rsidRPr="00100332">
        <w:rPr>
          <w:b/>
        </w:rPr>
        <w:t>Temperatures:</w:t>
      </w:r>
      <w:r w:rsidRPr="00100332">
        <w:t xml:space="preserve"> Air temperatures are very similar in the two valleys. Summer maximum temperatures for this region are in the low 80's, while winter maximum temperatures are in the high 50s to low 60s. Summer minimum temperatures are 50-51 degrees, and wintertime minimum temperatures are 36-40 degrees. (BAAQMD, 2011).</w:t>
      </w:r>
    </w:p>
    <w:p w:rsidR="005A21CA" w:rsidRPr="00100332" w:rsidRDefault="005A21CA" w:rsidP="005A21CA">
      <w:r w:rsidRPr="00100332">
        <w:rPr>
          <w:b/>
        </w:rPr>
        <w:t>Precipitation:</w:t>
      </w:r>
      <w:r w:rsidRPr="00100332">
        <w:t xml:space="preserve"> Rainfall averages range from 24 to 30 inches. Rainfall in the Cotati Valley is higher because the air is lifted and cooled in advance of the Sonoma Mountains, thereby causing condensation of the moisture. Consistent with the Bay Area Mediterranean climate, over 80 percent of the annual rainfall occurs from November through March. (BAAQMD, 2011).</w:t>
      </w:r>
    </w:p>
    <w:p w:rsidR="005A21CA" w:rsidRPr="00B519BB" w:rsidRDefault="005A21CA" w:rsidP="005A21CA">
      <w:pPr>
        <w:rPr>
          <w:highlight w:val="green"/>
        </w:rPr>
      </w:pPr>
      <w:r w:rsidRPr="00100332">
        <w:rPr>
          <w:b/>
        </w:rPr>
        <w:t>Air Pollution:</w:t>
      </w:r>
      <w:r w:rsidRPr="00100332">
        <w:t xml:space="preserve"> The Cotati Valley lacks a gap to the sea, accommodates a larger population, and has a natural barrier at its northern and eastern ends; therefore it has a higher pollution potential than does the Petaluma Valley. During stagnant conditions, polluted air carried up the Cotati Valley by diurnal upvalley flow, and added to by local emissions, could be trapped against the mountains to the north and east. (BAAQMD,</w:t>
      </w:r>
      <w:r>
        <w:t xml:space="preserve"> 2011).</w:t>
      </w:r>
    </w:p>
    <w:p w:rsidR="005A21CA" w:rsidRPr="006B2E1A" w:rsidRDefault="005A21CA" w:rsidP="005A21CA">
      <w:pPr>
        <w:pStyle w:val="Heading3"/>
      </w:pPr>
      <w:r w:rsidRPr="006B2E1A">
        <w:t>Criteria Pollutants</w:t>
      </w:r>
    </w:p>
    <w:p w:rsidR="005A21CA" w:rsidRPr="006B2E1A" w:rsidRDefault="005A21CA" w:rsidP="005A21CA">
      <w:r w:rsidRPr="006B2E1A">
        <w:t>The EPA uses six "criteria pollutants" as indicators of air quality, and has established for each of them a maximum concentration above which adverse effects on human health may occur. These threshold concentrations are called National Ambient Air Quality Standards (NAAQS). Each criteria pollutant is described below.</w:t>
      </w:r>
    </w:p>
    <w:p w:rsidR="005A21CA" w:rsidRPr="006B2E1A" w:rsidRDefault="005A21CA" w:rsidP="005A21CA">
      <w:r w:rsidRPr="006B2E1A">
        <w:rPr>
          <w:b/>
        </w:rPr>
        <w:t>Ozone (O</w:t>
      </w:r>
      <w:r w:rsidRPr="006B2E1A">
        <w:rPr>
          <w:b/>
          <w:vertAlign w:val="subscript"/>
        </w:rPr>
        <w:t>3</w:t>
      </w:r>
      <w:r w:rsidRPr="006B2E1A">
        <w:rPr>
          <w:b/>
        </w:rPr>
        <w:t>)</w:t>
      </w:r>
      <w:r w:rsidRPr="006B2E1A">
        <w:t xml:space="preserve"> is a photochemical oxidant and the major component of smog. While </w:t>
      </w:r>
      <w:r w:rsidRPr="00915371">
        <w:t>O</w:t>
      </w:r>
      <w:r w:rsidRPr="00915371">
        <w:rPr>
          <w:vertAlign w:val="subscript"/>
        </w:rPr>
        <w:t>3</w:t>
      </w:r>
      <w:r w:rsidRPr="00915371">
        <w:t xml:space="preserve"> in</w:t>
      </w:r>
      <w:r w:rsidRPr="006B2E1A">
        <w:t xml:space="preserve"> the upper atmosphere is beneficial to life by shielding the earth from harmful ultraviolet radiation from the sun, high concentrations of O</w:t>
      </w:r>
      <w:r w:rsidRPr="006B2E1A">
        <w:rPr>
          <w:vertAlign w:val="subscript"/>
        </w:rPr>
        <w:t>3</w:t>
      </w:r>
      <w:r w:rsidRPr="006B2E1A">
        <w:t xml:space="preserve"> at ground level are a major health and environmental concern. O</w:t>
      </w:r>
      <w:r w:rsidRPr="006B2E1A">
        <w:rPr>
          <w:vertAlign w:val="subscript"/>
        </w:rPr>
        <w:t>3</w:t>
      </w:r>
      <w:r w:rsidRPr="006B2E1A">
        <w:t xml:space="preserve"> is not emitted directly into the air but is formed through complex chemical reactions between precursor emissions of volatile organic compounds (VOC) and oxides of nitrogen (NOx) in the presence of sunlight. These reactions are stimulated by sunlight and temperature so that peak O</w:t>
      </w:r>
      <w:r w:rsidRPr="006B2E1A">
        <w:rPr>
          <w:vertAlign w:val="subscript"/>
        </w:rPr>
        <w:t>3</w:t>
      </w:r>
      <w:r w:rsidRPr="006B2E1A">
        <w:t xml:space="preserve"> levels occur typically during the warmer times of the year. Both VOCs and NOx are emitted by transportation and industrial sources. VOCs are emitted from sources as diverse as autos, chemical manufacturing, dry cleaners, paint shops and other sources using solvents.</w:t>
      </w:r>
    </w:p>
    <w:p w:rsidR="005A21CA" w:rsidRPr="006B2E1A" w:rsidRDefault="005A21CA" w:rsidP="005A21CA">
      <w:r w:rsidRPr="006B2E1A">
        <w:lastRenderedPageBreak/>
        <w:t>The reactivity of O</w:t>
      </w:r>
      <w:r w:rsidRPr="006B2E1A">
        <w:rPr>
          <w:vertAlign w:val="subscript"/>
        </w:rPr>
        <w:t>3</w:t>
      </w:r>
      <w:r w:rsidRPr="006B2E1A">
        <w:t xml:space="preserve"> causes health problems because it damages lung tissue, reduces lung function and sensitizes the lungs to other irritants. Scientific evidence indicates that ambient levels of O</w:t>
      </w:r>
      <w:r w:rsidRPr="006B2E1A">
        <w:rPr>
          <w:vertAlign w:val="subscript"/>
        </w:rPr>
        <w:t>3</w:t>
      </w:r>
      <w:r w:rsidRPr="006B2E1A">
        <w:t xml:space="preserve"> not only affect people with impaired respiratory systems, such as asthmatics, but healthy adults and children as well. Exposure to O</w:t>
      </w:r>
      <w:r w:rsidRPr="006B2E1A">
        <w:rPr>
          <w:vertAlign w:val="subscript"/>
        </w:rPr>
        <w:t>3</w:t>
      </w:r>
      <w:r w:rsidRPr="006B2E1A">
        <w:t xml:space="preserve"> for several hours at relatively low concentrations has been found to significantly reduce lung function and induce respiratory inflammation in normal, healthy people during exercise. This decrease in lung function generally is accompanied by symptoms including chest pain, coughing, sneezing and pulmonary congestion.</w:t>
      </w:r>
    </w:p>
    <w:p w:rsidR="005A21CA" w:rsidRPr="006B2E1A" w:rsidRDefault="005A21CA" w:rsidP="005A21CA">
      <w:r w:rsidRPr="006B2E1A">
        <w:rPr>
          <w:b/>
        </w:rPr>
        <w:t>Carbon monoxide (CO)</w:t>
      </w:r>
      <w:r w:rsidRPr="006B2E1A">
        <w:t xml:space="preserve"> is a colorless, odorless and poisonous gas produced by incomplete burning of carbon in fuels. When CO enters the bloodstream, it reduces the delivery of oxygen to the body's organs and tissues. Health threats are most serious for those who suffer from cardiovascular disease, particularly those with angina or peripheral vascular disease. Exposure to elevated CO levels can cause impairment of visual perception, manual dexterity, learning ability and performance of complex tasks.</w:t>
      </w:r>
    </w:p>
    <w:p w:rsidR="005A21CA" w:rsidRPr="006B2E1A" w:rsidRDefault="005A21CA" w:rsidP="005A21CA">
      <w:r w:rsidRPr="006B2E1A">
        <w:rPr>
          <w:b/>
        </w:rPr>
        <w:t xml:space="preserve">Nitrogen dioxide </w:t>
      </w:r>
      <w:r w:rsidRPr="00915371">
        <w:rPr>
          <w:b/>
        </w:rPr>
        <w:t>(NO</w:t>
      </w:r>
      <w:r w:rsidRPr="00915371">
        <w:rPr>
          <w:b/>
          <w:vertAlign w:val="subscript"/>
        </w:rPr>
        <w:t>2</w:t>
      </w:r>
      <w:r w:rsidRPr="00915371">
        <w:rPr>
          <w:b/>
        </w:rPr>
        <w:t>)</w:t>
      </w:r>
      <w:r w:rsidRPr="006B2E1A">
        <w:rPr>
          <w:b/>
        </w:rPr>
        <w:t xml:space="preserve"> </w:t>
      </w:r>
      <w:r w:rsidRPr="006B2E1A">
        <w:t>is a brownish, highly reactive gas that is present in all urban atmospheres. NO</w:t>
      </w:r>
      <w:r w:rsidRPr="006B2E1A">
        <w:rPr>
          <w:vertAlign w:val="subscript"/>
        </w:rPr>
        <w:t>2</w:t>
      </w:r>
      <w:r w:rsidRPr="006B2E1A">
        <w:t xml:space="preserve"> can irritate the lungs, cause bronchitis and pneumonia, and lower resistance to respiratory infections. Nitrogen oxides are an important precursor both to ozone (O</w:t>
      </w:r>
      <w:r w:rsidRPr="006B2E1A">
        <w:rPr>
          <w:vertAlign w:val="subscript"/>
        </w:rPr>
        <w:t>3</w:t>
      </w:r>
      <w:r w:rsidRPr="006B2E1A">
        <w:t>) and acid rain, and may affect both terrestrial and aquatic ecosystems. The major mechanism for the formation of NO</w:t>
      </w:r>
      <w:r w:rsidRPr="006B2E1A">
        <w:rPr>
          <w:vertAlign w:val="subscript"/>
        </w:rPr>
        <w:t>2</w:t>
      </w:r>
      <w:r w:rsidRPr="006B2E1A">
        <w:t xml:space="preserve"> in the atmosphere is the oxidation of the primary air pollutant nitric oxide (NOx). NOx plays a major role, together with VOCs, in the atmospheric reactions that produce O</w:t>
      </w:r>
      <w:r w:rsidRPr="006B2E1A">
        <w:rPr>
          <w:vertAlign w:val="subscript"/>
        </w:rPr>
        <w:t>3</w:t>
      </w:r>
      <w:r w:rsidRPr="006B2E1A">
        <w:t>. NOx forms when fuel is burned at high temperatures. The two major emission sources are transportation and stationary fuel combustion sources such as electric utility and industrial boilers.</w:t>
      </w:r>
    </w:p>
    <w:p w:rsidR="005A21CA" w:rsidRPr="006B2E1A" w:rsidRDefault="005A21CA" w:rsidP="005A21CA">
      <w:r w:rsidRPr="006B2E1A">
        <w:rPr>
          <w:b/>
        </w:rPr>
        <w:t>Sulfur dioxide (SO</w:t>
      </w:r>
      <w:r w:rsidRPr="006B2E1A">
        <w:rPr>
          <w:b/>
          <w:vertAlign w:val="subscript"/>
        </w:rPr>
        <w:t>2</w:t>
      </w:r>
      <w:r w:rsidRPr="006B2E1A">
        <w:rPr>
          <w:b/>
        </w:rPr>
        <w:t>)</w:t>
      </w:r>
      <w:r w:rsidRPr="006B2E1A">
        <w:t xml:space="preserve"> affects breathing and may aggravate existing respiratory and cardiovascular disease in high doses. Sensitive populations include asthmatics, individuals with bronchitis or emphysema, children and the elderly. SO</w:t>
      </w:r>
      <w:r w:rsidRPr="006B2E1A">
        <w:rPr>
          <w:vertAlign w:val="subscript"/>
        </w:rPr>
        <w:t>2</w:t>
      </w:r>
      <w:r w:rsidRPr="006B2E1A">
        <w:t xml:space="preserve"> is also a primary contributor to acid deposition, or acid rain, which causes acidification of lakes and streams and can damage trees, crops, historic buildings and statues. In addition, sulfur compounds in the air contribute to visibility impairment in large parts of the country. This is especially noticeable in national parks. Ambient SO</w:t>
      </w:r>
      <w:r w:rsidRPr="006B2E1A">
        <w:rPr>
          <w:vertAlign w:val="subscript"/>
        </w:rPr>
        <w:t>2</w:t>
      </w:r>
      <w:r w:rsidRPr="006B2E1A">
        <w:t xml:space="preserve"> results largely from stationary sources such as coal and oil combustion, steel mills, refineries, pulp and paper mills and from nonferrous smelters.</w:t>
      </w:r>
    </w:p>
    <w:p w:rsidR="005A21CA" w:rsidRPr="006B2E1A" w:rsidRDefault="005A21CA" w:rsidP="005A21CA">
      <w:r w:rsidRPr="006B2E1A">
        <w:rPr>
          <w:b/>
        </w:rPr>
        <w:t xml:space="preserve">Particulate matter (PM) </w:t>
      </w:r>
      <w:r w:rsidRPr="006B2E1A">
        <w:t>includes dust, dirt, soot, smoke and liquid droplets directly emitted into the air by sources such as factories, power plants, cars, construction activity, fires and natural windblown dust. Particles formed in the atmosphere by condensation or the transformation of emitted gases such as SO</w:t>
      </w:r>
      <w:r w:rsidRPr="006B2E1A">
        <w:rPr>
          <w:vertAlign w:val="subscript"/>
        </w:rPr>
        <w:t>2</w:t>
      </w:r>
      <w:r w:rsidRPr="006B2E1A">
        <w:t xml:space="preserve"> and VOCs are also considered particulate matter.</w:t>
      </w:r>
    </w:p>
    <w:p w:rsidR="005A21CA" w:rsidRPr="006B2E1A" w:rsidRDefault="005A21CA" w:rsidP="005A21CA">
      <w:r w:rsidRPr="006B2E1A">
        <w:t>Based on studies of human populations exposed to high concentrations of particles (sometimes in the presence of SO</w:t>
      </w:r>
      <w:r w:rsidRPr="006B2E1A">
        <w:rPr>
          <w:vertAlign w:val="subscript"/>
        </w:rPr>
        <w:t>2</w:t>
      </w:r>
      <w:r w:rsidRPr="006B2E1A">
        <w:t>) and laboratory studies of animals and humans, there are major effects of concern for human health. These include effects on breathing and respiratory symptoms, aggravation of existing respiratory and cardiovascular disease, alterations in the body's defense systems against foreign materials, damage to lung tissue, carcinogenesis and premature death.</w:t>
      </w:r>
    </w:p>
    <w:p w:rsidR="005A21CA" w:rsidRPr="006B2E1A" w:rsidRDefault="005A21CA" w:rsidP="005A21CA">
      <w:r w:rsidRPr="006B2E1A">
        <w:rPr>
          <w:b/>
        </w:rPr>
        <w:lastRenderedPageBreak/>
        <w:t>Respirable particulate matter (PM</w:t>
      </w:r>
      <w:r w:rsidRPr="006B2E1A">
        <w:rPr>
          <w:b/>
          <w:vertAlign w:val="subscript"/>
        </w:rPr>
        <w:t>10</w:t>
      </w:r>
      <w:r w:rsidRPr="006B2E1A">
        <w:rPr>
          <w:b/>
        </w:rPr>
        <w:t>)</w:t>
      </w:r>
      <w:r w:rsidRPr="006B2E1A">
        <w:t xml:space="preserve"> consists of small particles, less than 10 microns in diameter, of dust, smoke, or droplets of liquid which penetrate the human respiratory system and cause irritation by themselves, or in combination with other gases. Particulate matter in Colusa County is caused primarily by dust from grading and excavation activities, from agricultural uses (as created by soil preparation activities, fertilizer and pesticide spraying, weed burning and animal husbandry), and from motor vehicles, particularly diesel-powered vehicles. PM</w:t>
      </w:r>
      <w:r w:rsidRPr="006B2E1A">
        <w:rPr>
          <w:vertAlign w:val="subscript"/>
        </w:rPr>
        <w:t>10</w:t>
      </w:r>
      <w:r w:rsidRPr="006B2E1A">
        <w:t xml:space="preserve"> causes a greater health risk than larger particles, since these fine particles can more easily penetrate the defenses of the human respiratory system. </w:t>
      </w:r>
    </w:p>
    <w:p w:rsidR="005A21CA" w:rsidRPr="006B2E1A" w:rsidRDefault="005A21CA" w:rsidP="005A21CA">
      <w:r w:rsidRPr="006B2E1A">
        <w:rPr>
          <w:b/>
        </w:rPr>
        <w:t>Fine particulate matter (PM</w:t>
      </w:r>
      <w:r w:rsidRPr="006B2E1A">
        <w:rPr>
          <w:b/>
          <w:vertAlign w:val="subscript"/>
        </w:rPr>
        <w:t>2.5</w:t>
      </w:r>
      <w:r w:rsidRPr="006B2E1A">
        <w:rPr>
          <w:b/>
        </w:rPr>
        <w:t>)</w:t>
      </w:r>
      <w:r w:rsidRPr="006B2E1A">
        <w:t xml:space="preserve"> consists of small particles, which are less than 2.5 microns in size. Similar to PM</w:t>
      </w:r>
      <w:r w:rsidRPr="006B2E1A">
        <w:rPr>
          <w:vertAlign w:val="subscript"/>
        </w:rPr>
        <w:t>10</w:t>
      </w:r>
      <w:r w:rsidRPr="006B2E1A">
        <w:t>, these particles are primarily the result of combustion in motor vehicles, particularly diesel engines, as well as from industrial sources and residential/agricultural activities such as burning. It is also formed through the reaction of other pollutants. As with PM</w:t>
      </w:r>
      <w:r w:rsidRPr="006B2E1A">
        <w:rPr>
          <w:vertAlign w:val="subscript"/>
        </w:rPr>
        <w:t>10</w:t>
      </w:r>
      <w:r w:rsidRPr="006B2E1A">
        <w:t>, these particulates can increase the chance of respiratory disease, and cause lung damage and cancer. In 1997, the EPA created new Federal air quality standards for PM</w:t>
      </w:r>
      <w:r w:rsidRPr="006B2E1A">
        <w:rPr>
          <w:vertAlign w:val="subscript"/>
        </w:rPr>
        <w:t>2.5</w:t>
      </w:r>
      <w:r w:rsidRPr="006B2E1A">
        <w:t xml:space="preserve">. </w:t>
      </w:r>
    </w:p>
    <w:p w:rsidR="005A21CA" w:rsidRPr="006B2E1A" w:rsidRDefault="005A21CA" w:rsidP="005A21CA">
      <w:r w:rsidRPr="006B2E1A">
        <w:t>The major subgroups of the population that appear to be most sensitive to the effects of particulate matter include individuals with chronic obstructive pulmonary or cardiovascular disease or influenza, asthmatics, the elderly and children. Particulate matter also soils and damages materials, and is a major cause of visibility impairment.</w:t>
      </w:r>
    </w:p>
    <w:p w:rsidR="005A21CA" w:rsidRPr="006B2E1A" w:rsidRDefault="005A21CA" w:rsidP="005A21CA">
      <w:r w:rsidRPr="006B2E1A">
        <w:rPr>
          <w:b/>
        </w:rPr>
        <w:t>Lead (Pb)</w:t>
      </w:r>
      <w:r w:rsidRPr="006B2E1A">
        <w:t xml:space="preserve"> exposure can occur through multiple pathways, including inhalation of air and ingestion of Pb in food, water, soil or dust. Excessive Pb exposure can cause seizures, mental retardation and/or behavioral disorders. Low doses of Pb can lead to central nervous system damage. Recent studies have also shown that Pb may be a factor in high blood pressure and subsequent heart disease.</w:t>
      </w:r>
    </w:p>
    <w:p w:rsidR="005A21CA" w:rsidRPr="008C6953" w:rsidRDefault="005A21CA" w:rsidP="005A21CA">
      <w:pPr>
        <w:pStyle w:val="Heading3"/>
      </w:pPr>
      <w:bookmarkStart w:id="1" w:name="_Toc246739556"/>
      <w:r w:rsidRPr="008C6953">
        <w:t>Odors</w:t>
      </w:r>
    </w:p>
    <w:p w:rsidR="005A21CA" w:rsidRPr="008C6953" w:rsidRDefault="005A21CA" w:rsidP="005A21CA">
      <w:r w:rsidRPr="008C6953">
        <w:t>Typically odors are regarded as an annoyance rather than a health hazard. However, manifestations of a person’s reaction to foul odors can range from psychological (e.g., irritation, anger, or anxiety) to physiological (e.g., circulatory and respiratory effects, nausea, vomiting, and headache).</w:t>
      </w:r>
    </w:p>
    <w:p w:rsidR="005A21CA" w:rsidRPr="008C6953" w:rsidRDefault="005A21CA" w:rsidP="005A21CA">
      <w:r w:rsidRPr="008C6953">
        <w:t xml:space="preserve">With respect to odors, the human nose is the sole sensing device. The ability to detect odors varies considerably among the population and overall is quite subjective. Some individuals have the ability to smell minute quantities of specific substances; others may not have the same sensitivity but may have sensitivities to odors of other substances. In addition, people may have different reactions to the same odor; in fact, an odor that is offensive to one person (e.g., from a fast-food restaurant) may be perfectly acceptable to another. </w:t>
      </w:r>
    </w:p>
    <w:p w:rsidR="005A21CA" w:rsidRPr="008C6953" w:rsidRDefault="005A21CA" w:rsidP="005A21CA">
      <w:r w:rsidRPr="008C6953">
        <w:t>It is also important to note that an unfamiliar odor is more easily detected and is more likely to cause complaints than a familiar one. This is because of the phenomenon known as odor fatigue, in which a person can become desensitized to almost any odor and recognition only occurs with an alteration in the intensity.</w:t>
      </w:r>
    </w:p>
    <w:p w:rsidR="005A21CA" w:rsidRPr="008C6953" w:rsidRDefault="005A21CA" w:rsidP="005A21CA">
      <w:r w:rsidRPr="008C6953">
        <w:lastRenderedPageBreak/>
        <w:t xml:space="preserve">Quality and intensity are two properties present in any odor. The quality of an odor indicates the nature of the smell experience. For instance, if a person describes an odor as flowery or sweet, then the person is describing the quality of the odor. Intensity refers to the strength of the odor. For example, a person may use the word “strong” to describe the intensity of an odor. Odor intensity depends on the odorant concentration in the air. </w:t>
      </w:r>
    </w:p>
    <w:p w:rsidR="005A21CA" w:rsidRPr="008C6953" w:rsidRDefault="005A21CA" w:rsidP="005A21CA">
      <w:r w:rsidRPr="008C6953">
        <w:t>When an odorous sample is progressively diluted, the odorant concentration decreases. As this occurs, the odor intensity weakens and eventually becomes so low that the detection or recognition of the odor is quite difficult. At some point during dilution, the concentration of the odorant reaches a detection threshold. An odorant concentration below the detection threshold means that the concentration in the air is not detectable by the average human.</w:t>
      </w:r>
    </w:p>
    <w:bookmarkEnd w:id="1"/>
    <w:p w:rsidR="005A21CA" w:rsidRPr="008C6953" w:rsidRDefault="005A21CA" w:rsidP="005A21CA">
      <w:pPr>
        <w:pStyle w:val="Heading3"/>
      </w:pPr>
      <w:r w:rsidRPr="008C6953">
        <w:t>Naturally Occurring Asbestos</w:t>
      </w:r>
    </w:p>
    <w:p w:rsidR="005A21CA" w:rsidRPr="008C6953" w:rsidRDefault="005A21CA" w:rsidP="005A21CA">
      <w:r w:rsidRPr="008C6953">
        <w:t>The EPA Region 9 office is working in areas of California to address concerns about potential effects of naturally occurring asbestos. Naturally occurring asbestos can take the form of long, thin, separable fibers. Natural weathering or human disturbance can break naturally occurring asbestos down to microscopic fibers, easily suspended in air. There is no health threat if asbestos fibers in soil remain undisturbed and do not become airborne. When inhaled, these thin fibers irritate tissues and resist the body's natural defenses. Asbestos, a known carcinogen, causes cancers of the lung and the lining of internal organs, as well as asbestosis and other diseases that inhibit lung function.</w:t>
      </w:r>
    </w:p>
    <w:p w:rsidR="005A21CA" w:rsidRPr="008C6953" w:rsidRDefault="005A21CA" w:rsidP="005A21CA">
      <w:r w:rsidRPr="008C6953">
        <w:t>Asbestiform minerals occur naturally in rock and soil as the result of natural geologic processes, often in veins near earthquake faults in the coastal ranges and the foothills of the Sierra Nevada mountains. Sometimes the metamorphic conditions are right for the formation of chrysotile asbestos or tremolite-actinolite asbestos in bodies of ultramafic rock or along their boundaries. Asbestos is much less likely to be associated with non-ultramafic rock types.</w:t>
      </w:r>
    </w:p>
    <w:p w:rsidR="005A21CA" w:rsidRPr="008C6953" w:rsidRDefault="005A21CA" w:rsidP="005A21CA">
      <w:r w:rsidRPr="008C6953">
        <w:t xml:space="preserve">Ultramafic rocks are igneous rocks that form in high temperature environments well below the surface of the earth. By the time they are exposed at the surface by uplift and erosion, ultramafic rocks may be partially to completely altered to serpentinite, a type of metamorphic rock. Asbestos is the generic term for the naturally occurring fibrous (asbestiform) varieties of six silicate minerals, including chrysotile which is found in serpentinite and is the most common in California. </w:t>
      </w:r>
    </w:p>
    <w:p w:rsidR="005A21CA" w:rsidRPr="008C6953" w:rsidRDefault="005A21CA" w:rsidP="005A21CA">
      <w:r w:rsidRPr="008C6953">
        <w:t xml:space="preserve">Serpentinite is an ultramafic rock that has a greasy or waxy appearance and may be dark to light green, brown, yellow or white. Small amounts of chrysotile asbestos are common in serpentinite. Other forms of asbestos such amphibole asbestos also occur with serpentinite, but such occurrences are less common than chrysotile asbestos. </w:t>
      </w:r>
    </w:p>
    <w:p w:rsidR="005A21CA" w:rsidRPr="008C6953" w:rsidRDefault="005A21CA" w:rsidP="005A21CA">
      <w:r w:rsidRPr="008C6953">
        <w:t xml:space="preserve">Because of the correlation of asbestos and ultramafic rocks, the location of ultramafic rocks provides insight to the potential for naturally occurring asbestos in each county. The California Department of Conservation, Division of Mines and Geology mapped the location of ultramafic rocks within California, which is limited to the foothill regions of the Sierra Nevada, Coastal Range, and Cascade Range. </w:t>
      </w:r>
      <w:r>
        <w:t xml:space="preserve">Ultramafic rocks are known to occur in the foothill regions of Sonoma County, although none are mapped within the City of Cotati. </w:t>
      </w:r>
    </w:p>
    <w:p w:rsidR="005A21CA" w:rsidRPr="008C6953" w:rsidRDefault="005A21CA" w:rsidP="005A21CA">
      <w:pPr>
        <w:pStyle w:val="Heading3"/>
      </w:pPr>
      <w:r w:rsidRPr="008C6953">
        <w:lastRenderedPageBreak/>
        <w:t>Sensitive Receptors</w:t>
      </w:r>
    </w:p>
    <w:p w:rsidR="005A21CA" w:rsidRPr="008C6953" w:rsidRDefault="005A21CA" w:rsidP="005A21CA">
      <w:r w:rsidRPr="008C6953">
        <w:t>A sensitive receptor is a location where human populations, especially children, seniors, and sick persons, are present and where there is a reasonable expectation of continuous human exposure to pollutants. Examples of sensitive receptors include residences, hospitals and schools.</w:t>
      </w:r>
    </w:p>
    <w:p w:rsidR="005A21CA" w:rsidRPr="008C6953" w:rsidRDefault="005A21CA" w:rsidP="005A21CA">
      <w:pPr>
        <w:pStyle w:val="Heading3"/>
      </w:pPr>
      <w:r w:rsidRPr="008C6953">
        <w:t>Ambient Air Quality</w:t>
      </w:r>
    </w:p>
    <w:p w:rsidR="005A21CA" w:rsidRPr="008C6953" w:rsidRDefault="005A21CA" w:rsidP="005A21CA">
      <w:r w:rsidRPr="008C6953">
        <w:t>Both the EPA and the CARB have established ambient air quality standards for common pollutants. These ambient air quality standards represent safe levels of contaminants that avoid specific adverse health effects associated with each pollutant.</w:t>
      </w:r>
    </w:p>
    <w:p w:rsidR="005A21CA" w:rsidRPr="008C6953" w:rsidRDefault="005A21CA" w:rsidP="005A21CA">
      <w:pPr>
        <w:rPr>
          <w:b/>
          <w:i/>
          <w:smallCaps/>
          <w:color w:val="000000"/>
          <w:spacing w:val="2"/>
        </w:rPr>
      </w:pPr>
      <w:r w:rsidRPr="008C6953">
        <w:t xml:space="preserve">The federal and state ambient air quality standards are summarized in Table </w:t>
      </w:r>
      <w:r>
        <w:t>3.2</w:t>
      </w:r>
      <w:r w:rsidRPr="008C6953">
        <w:t xml:space="preserve">-1 for important pollutants. The federal and state ambient standards were developed independently, although both processes attempted to avoid health-related effects. As a result, the federal and state standards differ in some cases. In general, the state standards are more stringent. This is particularly true for ozone and particulate matter between 2.5 and 10 microns in diameter. </w:t>
      </w:r>
    </w:p>
    <w:tbl>
      <w:tblPr>
        <w:tblW w:w="8911" w:type="dxa"/>
        <w:tblInd w:w="107" w:type="dxa"/>
        <w:tblBorders>
          <w:top w:val="nil"/>
          <w:left w:val="nil"/>
          <w:bottom w:val="nil"/>
          <w:right w:val="nil"/>
        </w:tblBorders>
        <w:tblLayout w:type="fixed"/>
        <w:tblLook w:val="0000" w:firstRow="0" w:lastRow="0" w:firstColumn="0" w:lastColumn="0" w:noHBand="0" w:noVBand="0"/>
      </w:tblPr>
      <w:tblGrid>
        <w:gridCol w:w="2227"/>
        <w:gridCol w:w="2228"/>
        <w:gridCol w:w="2476"/>
        <w:gridCol w:w="1980"/>
      </w:tblGrid>
      <w:tr w:rsidR="005A21CA" w:rsidRPr="008C6953">
        <w:trPr>
          <w:trHeight w:val="288"/>
          <w:tblHeader/>
        </w:trPr>
        <w:tc>
          <w:tcPr>
            <w:tcW w:w="8911" w:type="dxa"/>
            <w:gridSpan w:val="4"/>
            <w:tcBorders>
              <w:top w:val="single" w:sz="2" w:space="0" w:color="000000"/>
              <w:left w:val="single" w:sz="4" w:space="0" w:color="000000"/>
              <w:bottom w:val="single" w:sz="2" w:space="0" w:color="000000"/>
              <w:right w:val="single" w:sz="2" w:space="0" w:color="000000"/>
            </w:tcBorders>
            <w:shd w:val="clear" w:color="auto" w:fill="000000"/>
            <w:vAlign w:val="center"/>
          </w:tcPr>
          <w:p w:rsidR="005A21CA" w:rsidRPr="00DB6AD3" w:rsidRDefault="005A21CA" w:rsidP="005A21CA">
            <w:pPr>
              <w:pStyle w:val="Heading7"/>
              <w:rPr>
                <w:lang w:bidi="en-US"/>
              </w:rPr>
            </w:pPr>
            <w:r w:rsidRPr="00DB6AD3">
              <w:rPr>
                <w:color w:val="FFFFFF"/>
              </w:rPr>
              <w:t>Table 3.2-1: Federal and State Ambient Air Quality Standards</w:t>
            </w:r>
          </w:p>
        </w:tc>
      </w:tr>
      <w:tr w:rsidR="005A21CA" w:rsidRPr="008C695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20" w:type="dxa"/>
            <w:right w:w="120" w:type="dxa"/>
          </w:tblCellMar>
        </w:tblPrEx>
        <w:trPr>
          <w:cantSplit/>
          <w:trHeight w:val="288"/>
        </w:trPr>
        <w:tc>
          <w:tcPr>
            <w:tcW w:w="2227" w:type="dxa"/>
            <w:shd w:val="clear" w:color="auto" w:fill="D9D9D9"/>
            <w:vAlign w:val="center"/>
          </w:tcPr>
          <w:p w:rsidR="005A21CA" w:rsidRPr="00DB6AD3" w:rsidRDefault="005A21CA" w:rsidP="005A21CA">
            <w:pPr>
              <w:pStyle w:val="TableHeadingRow"/>
              <w:rPr>
                <w:rFonts w:ascii="Calibri" w:hAnsi="Calibri"/>
              </w:rPr>
            </w:pPr>
            <w:r w:rsidRPr="00DB6AD3">
              <w:rPr>
                <w:rFonts w:ascii="Calibri" w:hAnsi="Calibri"/>
              </w:rPr>
              <w:t>Pollutant</w:t>
            </w:r>
          </w:p>
        </w:tc>
        <w:tc>
          <w:tcPr>
            <w:tcW w:w="2228" w:type="dxa"/>
            <w:shd w:val="clear" w:color="auto" w:fill="D9D9D9"/>
            <w:vAlign w:val="center"/>
          </w:tcPr>
          <w:p w:rsidR="005A21CA" w:rsidRPr="00DB6AD3" w:rsidRDefault="005A21CA" w:rsidP="005A21CA">
            <w:pPr>
              <w:pStyle w:val="TableHeadingRow"/>
              <w:rPr>
                <w:rFonts w:ascii="Calibri" w:hAnsi="Calibri"/>
              </w:rPr>
            </w:pPr>
            <w:r w:rsidRPr="00DB6AD3">
              <w:rPr>
                <w:rFonts w:ascii="Calibri" w:hAnsi="Calibri"/>
              </w:rPr>
              <w:t>Averaging Time</w:t>
            </w:r>
          </w:p>
        </w:tc>
        <w:tc>
          <w:tcPr>
            <w:tcW w:w="2476" w:type="dxa"/>
            <w:shd w:val="clear" w:color="auto" w:fill="D9D9D9"/>
            <w:vAlign w:val="center"/>
          </w:tcPr>
          <w:p w:rsidR="005A21CA" w:rsidRPr="00DB6AD3" w:rsidRDefault="005A21CA" w:rsidP="005A21CA">
            <w:pPr>
              <w:pStyle w:val="TableHeadingRow"/>
              <w:rPr>
                <w:rFonts w:ascii="Calibri" w:hAnsi="Calibri"/>
              </w:rPr>
            </w:pPr>
            <w:r w:rsidRPr="00DB6AD3">
              <w:rPr>
                <w:rFonts w:ascii="Calibri" w:hAnsi="Calibri"/>
              </w:rPr>
              <w:t>Federal Primary Standard</w:t>
            </w:r>
          </w:p>
        </w:tc>
        <w:tc>
          <w:tcPr>
            <w:tcW w:w="1980" w:type="dxa"/>
            <w:shd w:val="clear" w:color="auto" w:fill="D9D9D9"/>
            <w:vAlign w:val="center"/>
          </w:tcPr>
          <w:p w:rsidR="005A21CA" w:rsidRPr="00DB6AD3" w:rsidRDefault="005A21CA" w:rsidP="005A21CA">
            <w:pPr>
              <w:pStyle w:val="TableHeadingRow"/>
              <w:rPr>
                <w:rFonts w:ascii="Calibri" w:hAnsi="Calibri"/>
              </w:rPr>
            </w:pPr>
            <w:r w:rsidRPr="00DB6AD3">
              <w:rPr>
                <w:rFonts w:ascii="Calibri" w:hAnsi="Calibri"/>
              </w:rPr>
              <w:t>State Standard</w:t>
            </w:r>
          </w:p>
        </w:tc>
      </w:tr>
      <w:tr w:rsidR="005A21CA" w:rsidRPr="008C695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20" w:type="dxa"/>
            <w:right w:w="120" w:type="dxa"/>
          </w:tblCellMar>
        </w:tblPrEx>
        <w:trPr>
          <w:cantSplit/>
          <w:trHeight w:val="144"/>
        </w:trPr>
        <w:tc>
          <w:tcPr>
            <w:tcW w:w="2227" w:type="dxa"/>
            <w:vAlign w:val="center"/>
          </w:tcPr>
          <w:p w:rsidR="005A21CA" w:rsidRPr="008C6953" w:rsidRDefault="005A21CA" w:rsidP="005A21CA">
            <w:pPr>
              <w:spacing w:after="0"/>
              <w:jc w:val="left"/>
              <w:rPr>
                <w:sz w:val="20"/>
              </w:rPr>
            </w:pPr>
            <w:r w:rsidRPr="008C6953">
              <w:rPr>
                <w:sz w:val="20"/>
              </w:rPr>
              <w:t>Ozone</w:t>
            </w:r>
          </w:p>
        </w:tc>
        <w:tc>
          <w:tcPr>
            <w:tcW w:w="2228" w:type="dxa"/>
            <w:vAlign w:val="center"/>
          </w:tcPr>
          <w:p w:rsidR="005A21CA" w:rsidRPr="008C6953" w:rsidRDefault="005A21CA" w:rsidP="005A21CA">
            <w:pPr>
              <w:spacing w:after="0"/>
              <w:jc w:val="left"/>
              <w:rPr>
                <w:sz w:val="20"/>
              </w:rPr>
            </w:pPr>
            <w:r w:rsidRPr="008C6953">
              <w:rPr>
                <w:sz w:val="20"/>
              </w:rPr>
              <w:t>1-Hour</w:t>
            </w:r>
            <w:r w:rsidRPr="008C6953">
              <w:rPr>
                <w:sz w:val="20"/>
              </w:rPr>
              <w:br/>
              <w:t>8-Hour</w:t>
            </w:r>
          </w:p>
        </w:tc>
        <w:tc>
          <w:tcPr>
            <w:tcW w:w="2476" w:type="dxa"/>
            <w:vAlign w:val="center"/>
          </w:tcPr>
          <w:p w:rsidR="005A21CA" w:rsidRPr="008C6953" w:rsidRDefault="005A21CA" w:rsidP="005A21CA">
            <w:pPr>
              <w:spacing w:after="0"/>
              <w:jc w:val="left"/>
              <w:rPr>
                <w:sz w:val="20"/>
              </w:rPr>
            </w:pPr>
            <w:r w:rsidRPr="008C6953">
              <w:rPr>
                <w:sz w:val="20"/>
              </w:rPr>
              <w:t>--</w:t>
            </w:r>
            <w:r w:rsidRPr="008C6953">
              <w:rPr>
                <w:sz w:val="20"/>
              </w:rPr>
              <w:br/>
              <w:t>0.075 ppm</w:t>
            </w:r>
          </w:p>
        </w:tc>
        <w:tc>
          <w:tcPr>
            <w:tcW w:w="1980" w:type="dxa"/>
            <w:vAlign w:val="center"/>
          </w:tcPr>
          <w:p w:rsidR="005A21CA" w:rsidRPr="008C6953" w:rsidRDefault="005A21CA" w:rsidP="005A21CA">
            <w:pPr>
              <w:spacing w:after="0"/>
              <w:jc w:val="left"/>
              <w:rPr>
                <w:sz w:val="20"/>
              </w:rPr>
            </w:pPr>
            <w:r w:rsidRPr="008C6953">
              <w:rPr>
                <w:sz w:val="20"/>
              </w:rPr>
              <w:t>0.09 ppm</w:t>
            </w:r>
            <w:r w:rsidRPr="008C6953">
              <w:rPr>
                <w:sz w:val="20"/>
              </w:rPr>
              <w:br/>
              <w:t>0.070 ppm</w:t>
            </w:r>
          </w:p>
        </w:tc>
      </w:tr>
      <w:tr w:rsidR="005A21CA" w:rsidRPr="008C695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20" w:type="dxa"/>
            <w:right w:w="120" w:type="dxa"/>
          </w:tblCellMar>
        </w:tblPrEx>
        <w:trPr>
          <w:cantSplit/>
          <w:trHeight w:val="144"/>
        </w:trPr>
        <w:tc>
          <w:tcPr>
            <w:tcW w:w="2227" w:type="dxa"/>
            <w:vAlign w:val="center"/>
          </w:tcPr>
          <w:p w:rsidR="005A21CA" w:rsidRPr="008C6953" w:rsidRDefault="005A21CA" w:rsidP="005A21CA">
            <w:pPr>
              <w:spacing w:after="0"/>
              <w:jc w:val="left"/>
              <w:rPr>
                <w:sz w:val="20"/>
              </w:rPr>
            </w:pPr>
            <w:r w:rsidRPr="008C6953">
              <w:rPr>
                <w:sz w:val="20"/>
              </w:rPr>
              <w:t>Carbon Monoxide</w:t>
            </w:r>
          </w:p>
        </w:tc>
        <w:tc>
          <w:tcPr>
            <w:tcW w:w="2228" w:type="dxa"/>
            <w:vAlign w:val="center"/>
          </w:tcPr>
          <w:p w:rsidR="005A21CA" w:rsidRPr="008C6953" w:rsidRDefault="005A21CA" w:rsidP="005A21CA">
            <w:pPr>
              <w:spacing w:after="0"/>
              <w:jc w:val="left"/>
              <w:rPr>
                <w:sz w:val="20"/>
              </w:rPr>
            </w:pPr>
            <w:r w:rsidRPr="008C6953">
              <w:rPr>
                <w:sz w:val="20"/>
              </w:rPr>
              <w:t>8-Hour</w:t>
            </w:r>
            <w:r w:rsidRPr="008C6953">
              <w:rPr>
                <w:sz w:val="20"/>
              </w:rPr>
              <w:br/>
              <w:t>1-Hour</w:t>
            </w:r>
          </w:p>
        </w:tc>
        <w:tc>
          <w:tcPr>
            <w:tcW w:w="2476" w:type="dxa"/>
            <w:vAlign w:val="center"/>
          </w:tcPr>
          <w:p w:rsidR="005A21CA" w:rsidRPr="008C6953" w:rsidRDefault="005A21CA" w:rsidP="005A21CA">
            <w:pPr>
              <w:spacing w:after="0"/>
              <w:jc w:val="left"/>
              <w:rPr>
                <w:sz w:val="20"/>
              </w:rPr>
            </w:pPr>
            <w:r w:rsidRPr="008C6953">
              <w:rPr>
                <w:sz w:val="20"/>
              </w:rPr>
              <w:t>9.0 ppm</w:t>
            </w:r>
            <w:r w:rsidRPr="008C6953">
              <w:rPr>
                <w:sz w:val="20"/>
              </w:rPr>
              <w:br/>
              <w:t>35.0 ppm</w:t>
            </w:r>
          </w:p>
        </w:tc>
        <w:tc>
          <w:tcPr>
            <w:tcW w:w="1980" w:type="dxa"/>
            <w:vAlign w:val="center"/>
          </w:tcPr>
          <w:p w:rsidR="005A21CA" w:rsidRPr="008C6953" w:rsidRDefault="005A21CA" w:rsidP="005A21CA">
            <w:pPr>
              <w:spacing w:after="0"/>
              <w:jc w:val="left"/>
              <w:rPr>
                <w:sz w:val="20"/>
              </w:rPr>
            </w:pPr>
            <w:r w:rsidRPr="008C6953">
              <w:rPr>
                <w:sz w:val="20"/>
              </w:rPr>
              <w:t>9.0 ppm</w:t>
            </w:r>
            <w:r w:rsidRPr="008C6953">
              <w:rPr>
                <w:sz w:val="20"/>
              </w:rPr>
              <w:br/>
              <w:t>20.0 ppm</w:t>
            </w:r>
          </w:p>
        </w:tc>
      </w:tr>
      <w:tr w:rsidR="005A21CA" w:rsidRPr="008C695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20" w:type="dxa"/>
            <w:right w:w="120" w:type="dxa"/>
          </w:tblCellMar>
        </w:tblPrEx>
        <w:trPr>
          <w:cantSplit/>
          <w:trHeight w:val="144"/>
        </w:trPr>
        <w:tc>
          <w:tcPr>
            <w:tcW w:w="2227" w:type="dxa"/>
            <w:vAlign w:val="center"/>
          </w:tcPr>
          <w:p w:rsidR="005A21CA" w:rsidRPr="008C6953" w:rsidRDefault="005A21CA" w:rsidP="005A21CA">
            <w:pPr>
              <w:spacing w:after="0"/>
              <w:jc w:val="left"/>
              <w:rPr>
                <w:sz w:val="20"/>
              </w:rPr>
            </w:pPr>
            <w:r w:rsidRPr="008C6953">
              <w:rPr>
                <w:sz w:val="20"/>
              </w:rPr>
              <w:t>Nitrogen Dioxide</w:t>
            </w:r>
          </w:p>
        </w:tc>
        <w:tc>
          <w:tcPr>
            <w:tcW w:w="2228" w:type="dxa"/>
            <w:vAlign w:val="center"/>
          </w:tcPr>
          <w:p w:rsidR="005A21CA" w:rsidRPr="008C6953" w:rsidRDefault="005A21CA" w:rsidP="005A21CA">
            <w:pPr>
              <w:spacing w:after="0"/>
              <w:jc w:val="left"/>
              <w:rPr>
                <w:sz w:val="20"/>
              </w:rPr>
            </w:pPr>
            <w:r w:rsidRPr="008C6953">
              <w:rPr>
                <w:sz w:val="20"/>
              </w:rPr>
              <w:t>Annual</w:t>
            </w:r>
            <w:r w:rsidRPr="008C6953">
              <w:rPr>
                <w:sz w:val="20"/>
              </w:rPr>
              <w:br/>
              <w:t>1-Hour</w:t>
            </w:r>
          </w:p>
        </w:tc>
        <w:tc>
          <w:tcPr>
            <w:tcW w:w="2476" w:type="dxa"/>
            <w:vAlign w:val="center"/>
          </w:tcPr>
          <w:p w:rsidR="005A21CA" w:rsidRPr="008C6953" w:rsidRDefault="005A21CA" w:rsidP="005A21CA">
            <w:pPr>
              <w:spacing w:after="0"/>
              <w:jc w:val="left"/>
              <w:rPr>
                <w:sz w:val="20"/>
              </w:rPr>
            </w:pPr>
            <w:r w:rsidRPr="008C6953">
              <w:rPr>
                <w:sz w:val="20"/>
              </w:rPr>
              <w:t>--</w:t>
            </w:r>
            <w:r w:rsidRPr="008C6953">
              <w:rPr>
                <w:sz w:val="20"/>
              </w:rPr>
              <w:br/>
              <w:t xml:space="preserve">0.53 ppm </w:t>
            </w:r>
          </w:p>
        </w:tc>
        <w:tc>
          <w:tcPr>
            <w:tcW w:w="1980" w:type="dxa"/>
            <w:vAlign w:val="center"/>
          </w:tcPr>
          <w:p w:rsidR="005A21CA" w:rsidRPr="008C6953" w:rsidRDefault="005A21CA" w:rsidP="005A21CA">
            <w:pPr>
              <w:spacing w:after="0"/>
              <w:jc w:val="left"/>
              <w:rPr>
                <w:sz w:val="20"/>
              </w:rPr>
            </w:pPr>
            <w:r w:rsidRPr="008C6953">
              <w:rPr>
                <w:sz w:val="20"/>
              </w:rPr>
              <w:t>0.03 ppm</w:t>
            </w:r>
            <w:r w:rsidRPr="008C6953">
              <w:rPr>
                <w:sz w:val="20"/>
              </w:rPr>
              <w:br/>
              <w:t>0.18 ppm</w:t>
            </w:r>
          </w:p>
        </w:tc>
      </w:tr>
      <w:tr w:rsidR="005A21CA" w:rsidRPr="008C695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20" w:type="dxa"/>
            <w:right w:w="120" w:type="dxa"/>
          </w:tblCellMar>
        </w:tblPrEx>
        <w:trPr>
          <w:cantSplit/>
          <w:trHeight w:val="144"/>
        </w:trPr>
        <w:tc>
          <w:tcPr>
            <w:tcW w:w="2227" w:type="dxa"/>
            <w:vAlign w:val="center"/>
          </w:tcPr>
          <w:p w:rsidR="005A21CA" w:rsidRPr="008C6953" w:rsidRDefault="005A21CA" w:rsidP="005A21CA">
            <w:pPr>
              <w:spacing w:after="0"/>
              <w:jc w:val="left"/>
              <w:rPr>
                <w:sz w:val="20"/>
              </w:rPr>
            </w:pPr>
            <w:r w:rsidRPr="008C6953">
              <w:rPr>
                <w:sz w:val="20"/>
              </w:rPr>
              <w:t>Sulfur Dioxide</w:t>
            </w:r>
          </w:p>
        </w:tc>
        <w:tc>
          <w:tcPr>
            <w:tcW w:w="2228" w:type="dxa"/>
            <w:vAlign w:val="center"/>
          </w:tcPr>
          <w:p w:rsidR="005A21CA" w:rsidRPr="008C6953" w:rsidRDefault="005A21CA" w:rsidP="005A21CA">
            <w:pPr>
              <w:spacing w:after="0"/>
              <w:jc w:val="left"/>
              <w:rPr>
                <w:sz w:val="20"/>
              </w:rPr>
            </w:pPr>
            <w:r w:rsidRPr="008C6953">
              <w:rPr>
                <w:sz w:val="20"/>
              </w:rPr>
              <w:t>Annual</w:t>
            </w:r>
            <w:r w:rsidRPr="008C6953">
              <w:rPr>
                <w:sz w:val="20"/>
              </w:rPr>
              <w:br/>
              <w:t>24-Hour</w:t>
            </w:r>
          </w:p>
          <w:p w:rsidR="005A21CA" w:rsidRPr="008C6953" w:rsidRDefault="005A21CA" w:rsidP="005A21CA">
            <w:pPr>
              <w:spacing w:after="0"/>
              <w:jc w:val="left"/>
              <w:rPr>
                <w:sz w:val="20"/>
              </w:rPr>
            </w:pPr>
            <w:r w:rsidRPr="008C6953">
              <w:rPr>
                <w:sz w:val="20"/>
              </w:rPr>
              <w:t>1-Hour</w:t>
            </w:r>
          </w:p>
        </w:tc>
        <w:tc>
          <w:tcPr>
            <w:tcW w:w="2476" w:type="dxa"/>
            <w:vAlign w:val="center"/>
          </w:tcPr>
          <w:p w:rsidR="005A21CA" w:rsidRPr="008C6953" w:rsidRDefault="005A21CA" w:rsidP="005A21CA">
            <w:pPr>
              <w:spacing w:after="0"/>
              <w:jc w:val="left"/>
              <w:rPr>
                <w:sz w:val="20"/>
              </w:rPr>
            </w:pPr>
            <w:r w:rsidRPr="008C6953">
              <w:rPr>
                <w:sz w:val="20"/>
              </w:rPr>
              <w:t>0.03 ppm</w:t>
            </w:r>
            <w:r w:rsidRPr="008C6953">
              <w:rPr>
                <w:sz w:val="20"/>
              </w:rPr>
              <w:br/>
              <w:t>0.14 ppm</w:t>
            </w:r>
          </w:p>
          <w:p w:rsidR="005A21CA" w:rsidRPr="008C6953" w:rsidRDefault="005A21CA" w:rsidP="005A21CA">
            <w:pPr>
              <w:spacing w:after="0"/>
              <w:jc w:val="left"/>
              <w:rPr>
                <w:sz w:val="20"/>
              </w:rPr>
            </w:pPr>
            <w:r w:rsidRPr="008C6953">
              <w:rPr>
                <w:sz w:val="20"/>
              </w:rPr>
              <w:t>--</w:t>
            </w:r>
          </w:p>
        </w:tc>
        <w:tc>
          <w:tcPr>
            <w:tcW w:w="1980" w:type="dxa"/>
            <w:vAlign w:val="center"/>
          </w:tcPr>
          <w:p w:rsidR="005A21CA" w:rsidRPr="008C6953" w:rsidRDefault="005A21CA" w:rsidP="005A21CA">
            <w:pPr>
              <w:spacing w:after="0"/>
              <w:jc w:val="left"/>
              <w:rPr>
                <w:sz w:val="20"/>
              </w:rPr>
            </w:pPr>
            <w:r w:rsidRPr="008C6953">
              <w:rPr>
                <w:sz w:val="20"/>
              </w:rPr>
              <w:t>--</w:t>
            </w:r>
            <w:r w:rsidRPr="008C6953">
              <w:rPr>
                <w:sz w:val="20"/>
              </w:rPr>
              <w:br/>
              <w:t>0.04 ppm</w:t>
            </w:r>
          </w:p>
          <w:p w:rsidR="005A21CA" w:rsidRPr="008C6953" w:rsidRDefault="005A21CA" w:rsidP="005A21CA">
            <w:pPr>
              <w:spacing w:after="0"/>
              <w:jc w:val="left"/>
              <w:rPr>
                <w:sz w:val="20"/>
              </w:rPr>
            </w:pPr>
            <w:r w:rsidRPr="008C6953">
              <w:rPr>
                <w:sz w:val="20"/>
              </w:rPr>
              <w:t>0.25 ppm</w:t>
            </w:r>
          </w:p>
        </w:tc>
      </w:tr>
      <w:tr w:rsidR="005A21CA" w:rsidRPr="008C695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20" w:type="dxa"/>
            <w:right w:w="120" w:type="dxa"/>
          </w:tblCellMar>
        </w:tblPrEx>
        <w:trPr>
          <w:cantSplit/>
          <w:trHeight w:val="144"/>
        </w:trPr>
        <w:tc>
          <w:tcPr>
            <w:tcW w:w="2227" w:type="dxa"/>
            <w:vAlign w:val="center"/>
          </w:tcPr>
          <w:p w:rsidR="005A21CA" w:rsidRPr="008C6953" w:rsidRDefault="005A21CA" w:rsidP="005A21CA">
            <w:pPr>
              <w:spacing w:after="0"/>
              <w:jc w:val="left"/>
              <w:rPr>
                <w:sz w:val="20"/>
              </w:rPr>
            </w:pPr>
            <w:r w:rsidRPr="008C6953">
              <w:rPr>
                <w:sz w:val="20"/>
              </w:rPr>
              <w:t>PM10</w:t>
            </w:r>
          </w:p>
        </w:tc>
        <w:tc>
          <w:tcPr>
            <w:tcW w:w="2228" w:type="dxa"/>
            <w:vAlign w:val="center"/>
          </w:tcPr>
          <w:p w:rsidR="005A21CA" w:rsidRPr="008C6953" w:rsidRDefault="005A21CA" w:rsidP="005A21CA">
            <w:pPr>
              <w:spacing w:after="0"/>
              <w:jc w:val="left"/>
              <w:rPr>
                <w:sz w:val="20"/>
              </w:rPr>
            </w:pPr>
            <w:r w:rsidRPr="008C6953">
              <w:rPr>
                <w:sz w:val="20"/>
              </w:rPr>
              <w:t>Annual</w:t>
            </w:r>
            <w:r w:rsidRPr="008C6953">
              <w:rPr>
                <w:sz w:val="20"/>
              </w:rPr>
              <w:br/>
              <w:t>24-Hour</w:t>
            </w:r>
          </w:p>
        </w:tc>
        <w:tc>
          <w:tcPr>
            <w:tcW w:w="2476" w:type="dxa"/>
            <w:vAlign w:val="center"/>
          </w:tcPr>
          <w:p w:rsidR="005A21CA" w:rsidRPr="008C6953" w:rsidRDefault="005A21CA" w:rsidP="005A21CA">
            <w:pPr>
              <w:spacing w:after="0"/>
              <w:jc w:val="left"/>
              <w:rPr>
                <w:sz w:val="20"/>
              </w:rPr>
            </w:pPr>
            <w:r w:rsidRPr="008C6953">
              <w:rPr>
                <w:sz w:val="20"/>
              </w:rPr>
              <w:t>--</w:t>
            </w:r>
            <w:r w:rsidRPr="008C6953">
              <w:rPr>
                <w:sz w:val="20"/>
              </w:rPr>
              <w:br/>
              <w:t>150 ug/m3</w:t>
            </w:r>
          </w:p>
        </w:tc>
        <w:tc>
          <w:tcPr>
            <w:tcW w:w="1980" w:type="dxa"/>
            <w:vAlign w:val="center"/>
          </w:tcPr>
          <w:p w:rsidR="005A21CA" w:rsidRPr="008C6953" w:rsidRDefault="005A21CA" w:rsidP="005A21CA">
            <w:pPr>
              <w:spacing w:after="0"/>
              <w:jc w:val="left"/>
              <w:rPr>
                <w:sz w:val="20"/>
              </w:rPr>
            </w:pPr>
            <w:r w:rsidRPr="008C6953">
              <w:rPr>
                <w:sz w:val="20"/>
              </w:rPr>
              <w:t>20 ug/m3</w:t>
            </w:r>
            <w:r w:rsidRPr="008C6953">
              <w:rPr>
                <w:sz w:val="20"/>
              </w:rPr>
              <w:br/>
              <w:t>50 ug/m3</w:t>
            </w:r>
          </w:p>
        </w:tc>
      </w:tr>
      <w:tr w:rsidR="005A21CA" w:rsidRPr="008C695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20" w:type="dxa"/>
            <w:right w:w="120" w:type="dxa"/>
          </w:tblCellMar>
        </w:tblPrEx>
        <w:trPr>
          <w:cantSplit/>
          <w:trHeight w:val="144"/>
        </w:trPr>
        <w:tc>
          <w:tcPr>
            <w:tcW w:w="2227" w:type="dxa"/>
            <w:vAlign w:val="center"/>
          </w:tcPr>
          <w:p w:rsidR="005A21CA" w:rsidRPr="008C6953" w:rsidRDefault="005A21CA" w:rsidP="005A21CA">
            <w:pPr>
              <w:spacing w:after="0"/>
              <w:jc w:val="left"/>
              <w:rPr>
                <w:sz w:val="20"/>
              </w:rPr>
            </w:pPr>
            <w:r w:rsidRPr="008C6953">
              <w:rPr>
                <w:sz w:val="20"/>
              </w:rPr>
              <w:t>PM2.5</w:t>
            </w:r>
          </w:p>
        </w:tc>
        <w:tc>
          <w:tcPr>
            <w:tcW w:w="2228" w:type="dxa"/>
            <w:vAlign w:val="center"/>
          </w:tcPr>
          <w:p w:rsidR="005A21CA" w:rsidRPr="008C6953" w:rsidRDefault="005A21CA" w:rsidP="005A21CA">
            <w:pPr>
              <w:spacing w:after="0"/>
              <w:jc w:val="left"/>
              <w:rPr>
                <w:sz w:val="20"/>
              </w:rPr>
            </w:pPr>
            <w:r w:rsidRPr="008C6953">
              <w:rPr>
                <w:sz w:val="20"/>
              </w:rPr>
              <w:t>Annual</w:t>
            </w:r>
            <w:r w:rsidRPr="008C6953">
              <w:rPr>
                <w:sz w:val="20"/>
              </w:rPr>
              <w:br/>
              <w:t>24-Hour</w:t>
            </w:r>
          </w:p>
        </w:tc>
        <w:tc>
          <w:tcPr>
            <w:tcW w:w="2476" w:type="dxa"/>
            <w:vAlign w:val="center"/>
          </w:tcPr>
          <w:p w:rsidR="005A21CA" w:rsidRPr="008C6953" w:rsidRDefault="005A21CA" w:rsidP="005A21CA">
            <w:pPr>
              <w:spacing w:after="0"/>
              <w:jc w:val="left"/>
              <w:rPr>
                <w:sz w:val="20"/>
              </w:rPr>
            </w:pPr>
            <w:r w:rsidRPr="008C6953">
              <w:rPr>
                <w:sz w:val="20"/>
              </w:rPr>
              <w:t>35 ug/m3</w:t>
            </w:r>
            <w:r w:rsidRPr="008C6953">
              <w:rPr>
                <w:sz w:val="20"/>
              </w:rPr>
              <w:br/>
              <w:t>15 ug/m3</w:t>
            </w:r>
          </w:p>
        </w:tc>
        <w:tc>
          <w:tcPr>
            <w:tcW w:w="1980" w:type="dxa"/>
            <w:vAlign w:val="center"/>
          </w:tcPr>
          <w:p w:rsidR="005A21CA" w:rsidRPr="008C6953" w:rsidRDefault="005A21CA" w:rsidP="005A21CA">
            <w:pPr>
              <w:spacing w:after="0"/>
              <w:jc w:val="left"/>
              <w:rPr>
                <w:sz w:val="20"/>
              </w:rPr>
            </w:pPr>
            <w:r w:rsidRPr="008C6953">
              <w:rPr>
                <w:sz w:val="20"/>
              </w:rPr>
              <w:t>12 ug/m3</w:t>
            </w:r>
            <w:r w:rsidRPr="008C6953">
              <w:rPr>
                <w:sz w:val="20"/>
              </w:rPr>
              <w:br/>
              <w:t>--</w:t>
            </w:r>
          </w:p>
        </w:tc>
      </w:tr>
      <w:tr w:rsidR="005A21CA" w:rsidRPr="008C6953">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20" w:type="dxa"/>
            <w:right w:w="120" w:type="dxa"/>
          </w:tblCellMar>
        </w:tblPrEx>
        <w:trPr>
          <w:cantSplit/>
          <w:trHeight w:val="144"/>
        </w:trPr>
        <w:tc>
          <w:tcPr>
            <w:tcW w:w="2227" w:type="dxa"/>
            <w:vAlign w:val="center"/>
          </w:tcPr>
          <w:p w:rsidR="005A21CA" w:rsidRPr="008C6953" w:rsidRDefault="005A21CA" w:rsidP="005A21CA">
            <w:pPr>
              <w:spacing w:after="0"/>
              <w:jc w:val="left"/>
              <w:rPr>
                <w:sz w:val="20"/>
              </w:rPr>
            </w:pPr>
            <w:r w:rsidRPr="008C6953">
              <w:rPr>
                <w:sz w:val="20"/>
              </w:rPr>
              <w:t>Lead</w:t>
            </w:r>
          </w:p>
        </w:tc>
        <w:tc>
          <w:tcPr>
            <w:tcW w:w="2228" w:type="dxa"/>
            <w:vAlign w:val="center"/>
          </w:tcPr>
          <w:p w:rsidR="005A21CA" w:rsidRPr="008C6953" w:rsidRDefault="005A21CA" w:rsidP="005A21CA">
            <w:pPr>
              <w:spacing w:after="0"/>
              <w:jc w:val="left"/>
              <w:rPr>
                <w:sz w:val="20"/>
              </w:rPr>
            </w:pPr>
            <w:r w:rsidRPr="008C6953">
              <w:rPr>
                <w:sz w:val="20"/>
              </w:rPr>
              <w:t>30-Day Avg.</w:t>
            </w:r>
            <w:r w:rsidRPr="008C6953">
              <w:rPr>
                <w:sz w:val="20"/>
              </w:rPr>
              <w:br/>
              <w:t>3-Month Avg.</w:t>
            </w:r>
          </w:p>
        </w:tc>
        <w:tc>
          <w:tcPr>
            <w:tcW w:w="2476" w:type="dxa"/>
            <w:vAlign w:val="center"/>
          </w:tcPr>
          <w:p w:rsidR="005A21CA" w:rsidRPr="008C6953" w:rsidRDefault="005A21CA" w:rsidP="005A21CA">
            <w:pPr>
              <w:spacing w:after="0"/>
              <w:jc w:val="left"/>
              <w:rPr>
                <w:sz w:val="20"/>
              </w:rPr>
            </w:pPr>
            <w:r w:rsidRPr="008C6953">
              <w:rPr>
                <w:sz w:val="20"/>
              </w:rPr>
              <w:t>--</w:t>
            </w:r>
            <w:r w:rsidRPr="008C6953">
              <w:rPr>
                <w:sz w:val="20"/>
              </w:rPr>
              <w:br/>
              <w:t>1.5 ug/m3</w:t>
            </w:r>
          </w:p>
        </w:tc>
        <w:tc>
          <w:tcPr>
            <w:tcW w:w="1980" w:type="dxa"/>
            <w:vAlign w:val="center"/>
          </w:tcPr>
          <w:p w:rsidR="005A21CA" w:rsidRPr="008C6953" w:rsidRDefault="005A21CA" w:rsidP="005A21CA">
            <w:pPr>
              <w:spacing w:after="0"/>
              <w:jc w:val="left"/>
              <w:rPr>
                <w:sz w:val="20"/>
              </w:rPr>
            </w:pPr>
            <w:r w:rsidRPr="008C6953">
              <w:rPr>
                <w:sz w:val="20"/>
              </w:rPr>
              <w:t>1.5 ug/m3</w:t>
            </w:r>
            <w:r w:rsidRPr="008C6953">
              <w:rPr>
                <w:sz w:val="20"/>
              </w:rPr>
              <w:br/>
              <w:t>--</w:t>
            </w:r>
          </w:p>
        </w:tc>
      </w:tr>
    </w:tbl>
    <w:p w:rsidR="005A21CA" w:rsidRPr="008C6953" w:rsidRDefault="005A21CA" w:rsidP="005A21CA">
      <w:pPr>
        <w:pStyle w:val="Source"/>
        <w:spacing w:after="80"/>
        <w:ind w:left="86"/>
        <w:jc w:val="left"/>
      </w:pPr>
      <w:r w:rsidRPr="008C6953">
        <w:t>Source: California Air Resources Board, 20</w:t>
      </w:r>
      <w:r>
        <w:t xml:space="preserve">11. </w:t>
      </w:r>
      <w:r w:rsidRPr="008C6953">
        <w:rPr>
          <w:szCs w:val="18"/>
        </w:rPr>
        <w:t>Notes: ppm = parts per million, ug/m3 = Micrograms per Cubic Meter</w:t>
      </w:r>
    </w:p>
    <w:p w:rsidR="005A21CA" w:rsidRPr="00A07B31" w:rsidRDefault="005A21CA" w:rsidP="005A21CA">
      <w:r w:rsidRPr="00A07B31">
        <w:t>The State of California regularly reviews scientific literature regarding the health effects and exposure to PM and other pollutants. On May 3, 2002, CARB staff recommended lowering the level of the annual standard for PM</w:t>
      </w:r>
      <w:r w:rsidRPr="00A07B31">
        <w:rPr>
          <w:vertAlign w:val="subscript"/>
        </w:rPr>
        <w:t>10</w:t>
      </w:r>
      <w:r w:rsidRPr="00A07B31">
        <w:t xml:space="preserve"> and establishing a new annual standard for PM</w:t>
      </w:r>
      <w:r w:rsidRPr="00A07B31">
        <w:rPr>
          <w:vertAlign w:val="subscript"/>
        </w:rPr>
        <w:t>2.5</w:t>
      </w:r>
      <w:r w:rsidRPr="00A07B31">
        <w:t xml:space="preserve">. The new standards became effective on July 5, 2003, with another revision on November 29, 2005. </w:t>
      </w:r>
    </w:p>
    <w:p w:rsidR="005A21CA" w:rsidRPr="00A07B31" w:rsidRDefault="005A21CA" w:rsidP="005A21CA">
      <w:r w:rsidRPr="00A07B31">
        <w:t xml:space="preserve">In addition to the criteria pollutants discussed above, Toxic Air Contaminants (TACs) are another group of pollutants of concern. TACs are injurious in small quantities and are regulated despite the absence of criteria documents. The identification, regulation and monitoring of TACs is relatively </w:t>
      </w:r>
      <w:r w:rsidRPr="00A07B31">
        <w:lastRenderedPageBreak/>
        <w:t xml:space="preserve">recent compared to that for criteria pollutants. Unlike criteria pollutants, TACs are regulated on the basis of risk rather than specification of safe levels of contamination. </w:t>
      </w:r>
    </w:p>
    <w:p w:rsidR="005A21CA" w:rsidRPr="008F23EC" w:rsidRDefault="005A21CA" w:rsidP="005A21CA">
      <w:r w:rsidRPr="00A07B31">
        <w:t>Existing air quality concerns within Sonoma County and the entire BAAQMD are related to increases of regional criteria air pollutants (e.g., ozone and particulate matter), exposure to toxic air contaminants, odors, and increases in greenhouse gas emissions contributing to climate change. The primary source of ozone (smog) pollution is motor vehicles which account for 70 percent of the ozone in the region. Particulate matter is caused by dust, primarily dust generated from construction and grading activities, and smoke which is emitted from fireplaces, wood-burning stoves, and agricultural burning.</w:t>
      </w:r>
    </w:p>
    <w:p w:rsidR="005A21CA" w:rsidRPr="0023752C" w:rsidRDefault="005A21CA" w:rsidP="005A21CA">
      <w:pPr>
        <w:pStyle w:val="Heading4"/>
      </w:pPr>
      <w:r w:rsidRPr="0023752C">
        <w:t>Attainment Status</w:t>
      </w:r>
    </w:p>
    <w:p w:rsidR="005A21CA" w:rsidRPr="0023752C" w:rsidRDefault="005A21CA" w:rsidP="005A21CA">
      <w:r w:rsidRPr="0023752C">
        <w:t xml:space="preserve">In accordance with the California Clean Air Act (CCAA), the CARB is required to designate areas of the state as attainment, nonattainment, or unclassified with respect to applicable standards. An “attainment” designation for an area signifies that pollutant concentrations did not violate the applicable standard in that area. A “nonattainment” designation indicates that a pollutant concentration violated the applicable standard at least once, excluding those occasions when a violation was caused by an exceptional event, as defined in the criteria. </w:t>
      </w:r>
    </w:p>
    <w:p w:rsidR="005A21CA" w:rsidRPr="0023752C" w:rsidRDefault="005A21CA" w:rsidP="005A21CA">
      <w:r w:rsidRPr="0023752C">
        <w:t>Depending on the frequency and severity of pollutants exceeding applicable standards, the nonattainment designation can be further classified as serious nonattainment, severe nonattainment, or extreme nonattainment, with extreme nonattainment being the most severe of the classifications. An “unclassified” designation signifies that the data do not support either an attainment or nonattainment status. The CCAA divides districts into moderate, serious, and severe air pollution categories, with increasingly stringent control requirements mandated for each category.</w:t>
      </w:r>
    </w:p>
    <w:p w:rsidR="005A21CA" w:rsidRPr="0023752C" w:rsidRDefault="005A21CA" w:rsidP="005A21CA">
      <w:r w:rsidRPr="0023752C">
        <w:t>The EPA designates areas for ozone (O</w:t>
      </w:r>
      <w:r w:rsidRPr="0023752C">
        <w:rPr>
          <w:vertAlign w:val="subscript"/>
        </w:rPr>
        <w:t>3</w:t>
      </w:r>
      <w:r w:rsidRPr="0023752C">
        <w:t>), carbon monoxide (CO), and nitrogen dioxide (NO</w:t>
      </w:r>
      <w:r w:rsidRPr="0023752C">
        <w:rPr>
          <w:vertAlign w:val="subscript"/>
        </w:rPr>
        <w:t>2</w:t>
      </w:r>
      <w:r w:rsidRPr="0023752C">
        <w:t>) as “does not meet the primary standards,” “cannot be classified,” or “better than national standards.” For sulfur dioxide (SO</w:t>
      </w:r>
      <w:r w:rsidRPr="0023752C">
        <w:rPr>
          <w:vertAlign w:val="subscript"/>
        </w:rPr>
        <w:t>2</w:t>
      </w:r>
      <w:r w:rsidRPr="0023752C">
        <w:t xml:space="preserve">), areas are designated as “does not meet the primary standards,” “does not meet the secondary standards,” “cannot be classified,” or “better than national standards.” However, the CARB terminology of attainment, nonattainment, and unclassified is more frequently used. </w:t>
      </w:r>
    </w:p>
    <w:p w:rsidR="005A21CA" w:rsidRDefault="005A21CA" w:rsidP="005A21CA">
      <w:r w:rsidRPr="0023752C">
        <w:t xml:space="preserve">The City of Cotati has a national designation of Nonattainment for </w:t>
      </w:r>
      <w:r>
        <w:t>o</w:t>
      </w:r>
      <w:r w:rsidRPr="0023752C">
        <w:t>zone and PM2.5, and either Unclassified or Attainment for all criteria pollutants. The City has a state designation as non-attainment for ozone, PM10, and PM2.5, and either attainment or unclassified for all criteria pollutants.</w:t>
      </w:r>
    </w:p>
    <w:p w:rsidR="005A21CA" w:rsidRPr="0023752C" w:rsidRDefault="005A21CA" w:rsidP="005A21CA">
      <w:r>
        <w:br w:type="page"/>
      </w:r>
    </w:p>
    <w:tbl>
      <w:tblPr>
        <w:tblW w:w="8641" w:type="dxa"/>
        <w:tblInd w:w="107" w:type="dxa"/>
        <w:tblBorders>
          <w:top w:val="nil"/>
          <w:left w:val="nil"/>
          <w:bottom w:val="nil"/>
          <w:right w:val="nil"/>
        </w:tblBorders>
        <w:tblLayout w:type="fixed"/>
        <w:tblLook w:val="0000" w:firstRow="0" w:lastRow="0" w:firstColumn="0" w:lastColumn="0" w:noHBand="0" w:noVBand="0"/>
      </w:tblPr>
      <w:tblGrid>
        <w:gridCol w:w="2773"/>
        <w:gridCol w:w="2970"/>
        <w:gridCol w:w="2898"/>
      </w:tblGrid>
      <w:tr w:rsidR="005A21CA" w:rsidRPr="00423BAA">
        <w:trPr>
          <w:trHeight w:val="288"/>
          <w:tblHeader/>
        </w:trPr>
        <w:tc>
          <w:tcPr>
            <w:tcW w:w="8641" w:type="dxa"/>
            <w:gridSpan w:val="3"/>
            <w:tcBorders>
              <w:top w:val="single" w:sz="2" w:space="0" w:color="000000"/>
              <w:left w:val="single" w:sz="4" w:space="0" w:color="000000"/>
              <w:bottom w:val="single" w:sz="2" w:space="0" w:color="000000"/>
              <w:right w:val="single" w:sz="2" w:space="0" w:color="000000"/>
            </w:tcBorders>
            <w:shd w:val="clear" w:color="auto" w:fill="000000"/>
            <w:vAlign w:val="center"/>
          </w:tcPr>
          <w:p w:rsidR="005A21CA" w:rsidRPr="00DB6AD3" w:rsidRDefault="005A21CA" w:rsidP="005A21CA">
            <w:pPr>
              <w:pStyle w:val="Heading7"/>
              <w:rPr>
                <w:lang w:bidi="en-US"/>
              </w:rPr>
            </w:pPr>
            <w:r w:rsidRPr="00DB6AD3">
              <w:rPr>
                <w:color w:val="FFFFFF"/>
              </w:rPr>
              <w:lastRenderedPageBreak/>
              <w:t>Table 3.2-2: State and National Attainment Status</w:t>
            </w:r>
          </w:p>
        </w:tc>
      </w:tr>
      <w:tr w:rsidR="005A21CA" w:rsidRPr="0042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773" w:type="dxa"/>
            <w:shd w:val="clear" w:color="auto" w:fill="D9D9D9"/>
            <w:vAlign w:val="center"/>
          </w:tcPr>
          <w:p w:rsidR="005A21CA" w:rsidRPr="00DB6AD3" w:rsidRDefault="005A21CA" w:rsidP="005A21CA">
            <w:pPr>
              <w:pStyle w:val="TableHeadingRow"/>
              <w:rPr>
                <w:rFonts w:ascii="Calibri" w:hAnsi="Calibri"/>
              </w:rPr>
            </w:pPr>
            <w:r w:rsidRPr="00DB6AD3">
              <w:rPr>
                <w:rFonts w:ascii="Calibri" w:hAnsi="Calibri"/>
              </w:rPr>
              <w:t>Criteria Pollutants</w:t>
            </w:r>
          </w:p>
        </w:tc>
        <w:tc>
          <w:tcPr>
            <w:tcW w:w="2970" w:type="dxa"/>
            <w:shd w:val="clear" w:color="auto" w:fill="D9D9D9"/>
            <w:vAlign w:val="center"/>
          </w:tcPr>
          <w:p w:rsidR="005A21CA" w:rsidRPr="00DB6AD3" w:rsidRDefault="005A21CA" w:rsidP="005A21CA">
            <w:pPr>
              <w:pStyle w:val="TableHeadingRow"/>
              <w:rPr>
                <w:rFonts w:ascii="Calibri" w:hAnsi="Calibri"/>
              </w:rPr>
            </w:pPr>
            <w:r w:rsidRPr="00DB6AD3">
              <w:rPr>
                <w:rFonts w:ascii="Calibri" w:hAnsi="Calibri"/>
              </w:rPr>
              <w:t>State Designations</w:t>
            </w:r>
          </w:p>
        </w:tc>
        <w:tc>
          <w:tcPr>
            <w:tcW w:w="2898" w:type="dxa"/>
            <w:shd w:val="clear" w:color="auto" w:fill="D9D9D9"/>
            <w:vAlign w:val="center"/>
          </w:tcPr>
          <w:p w:rsidR="005A21CA" w:rsidRPr="00DB6AD3" w:rsidRDefault="005A21CA" w:rsidP="005A21CA">
            <w:pPr>
              <w:pStyle w:val="TableHeadingRow"/>
              <w:rPr>
                <w:rFonts w:ascii="Calibri" w:hAnsi="Calibri"/>
              </w:rPr>
            </w:pPr>
            <w:r w:rsidRPr="00DB6AD3">
              <w:rPr>
                <w:rFonts w:ascii="Calibri" w:hAnsi="Calibri"/>
              </w:rPr>
              <w:t>National Designations</w:t>
            </w:r>
          </w:p>
        </w:tc>
      </w:tr>
      <w:tr w:rsidR="005A21CA" w:rsidRPr="0042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773" w:type="dxa"/>
            <w:vAlign w:val="center"/>
          </w:tcPr>
          <w:p w:rsidR="005A21CA" w:rsidRPr="0023752C" w:rsidRDefault="005A21CA" w:rsidP="005A21CA">
            <w:pPr>
              <w:spacing w:after="0"/>
              <w:jc w:val="left"/>
              <w:rPr>
                <w:sz w:val="20"/>
              </w:rPr>
            </w:pPr>
            <w:r w:rsidRPr="0023752C">
              <w:rPr>
                <w:sz w:val="20"/>
              </w:rPr>
              <w:t>8-Hour Ozone</w:t>
            </w:r>
          </w:p>
        </w:tc>
        <w:tc>
          <w:tcPr>
            <w:tcW w:w="2970" w:type="dxa"/>
            <w:vAlign w:val="center"/>
          </w:tcPr>
          <w:p w:rsidR="005A21CA" w:rsidRPr="0023752C" w:rsidRDefault="005A21CA" w:rsidP="005A21CA">
            <w:pPr>
              <w:spacing w:after="0"/>
              <w:jc w:val="left"/>
              <w:rPr>
                <w:b/>
                <w:sz w:val="20"/>
              </w:rPr>
            </w:pPr>
            <w:r w:rsidRPr="0023752C">
              <w:rPr>
                <w:b/>
                <w:sz w:val="20"/>
              </w:rPr>
              <w:t>Nonattainment</w:t>
            </w:r>
          </w:p>
        </w:tc>
        <w:tc>
          <w:tcPr>
            <w:tcW w:w="2898" w:type="dxa"/>
            <w:vAlign w:val="center"/>
          </w:tcPr>
          <w:p w:rsidR="005A21CA" w:rsidRPr="0023752C" w:rsidRDefault="005A21CA" w:rsidP="005A21CA">
            <w:pPr>
              <w:spacing w:after="0"/>
              <w:jc w:val="left"/>
              <w:rPr>
                <w:b/>
                <w:sz w:val="20"/>
              </w:rPr>
            </w:pPr>
            <w:r w:rsidRPr="0023752C">
              <w:rPr>
                <w:b/>
                <w:sz w:val="20"/>
              </w:rPr>
              <w:t>Nonattainment</w:t>
            </w:r>
          </w:p>
        </w:tc>
      </w:tr>
      <w:tr w:rsidR="005A21CA" w:rsidRPr="0042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773" w:type="dxa"/>
            <w:vAlign w:val="center"/>
          </w:tcPr>
          <w:p w:rsidR="005A21CA" w:rsidRPr="0023752C" w:rsidRDefault="005A21CA" w:rsidP="005A21CA">
            <w:pPr>
              <w:spacing w:after="0"/>
              <w:jc w:val="left"/>
              <w:rPr>
                <w:sz w:val="20"/>
              </w:rPr>
            </w:pPr>
            <w:r w:rsidRPr="0023752C">
              <w:rPr>
                <w:sz w:val="20"/>
              </w:rPr>
              <w:t>PM10</w:t>
            </w:r>
          </w:p>
        </w:tc>
        <w:tc>
          <w:tcPr>
            <w:tcW w:w="2970" w:type="dxa"/>
            <w:vAlign w:val="center"/>
          </w:tcPr>
          <w:p w:rsidR="005A21CA" w:rsidRPr="0023752C" w:rsidRDefault="005A21CA" w:rsidP="005A21CA">
            <w:pPr>
              <w:spacing w:after="0"/>
              <w:jc w:val="left"/>
              <w:rPr>
                <w:b/>
                <w:sz w:val="20"/>
              </w:rPr>
            </w:pPr>
            <w:r w:rsidRPr="0023752C">
              <w:rPr>
                <w:b/>
                <w:sz w:val="20"/>
              </w:rPr>
              <w:t>Nonattainment</w:t>
            </w:r>
          </w:p>
        </w:tc>
        <w:tc>
          <w:tcPr>
            <w:tcW w:w="2898" w:type="dxa"/>
            <w:vAlign w:val="center"/>
          </w:tcPr>
          <w:p w:rsidR="005A21CA" w:rsidRPr="0023752C" w:rsidRDefault="005A21CA" w:rsidP="005A21CA">
            <w:pPr>
              <w:spacing w:after="0"/>
              <w:jc w:val="left"/>
              <w:rPr>
                <w:sz w:val="20"/>
              </w:rPr>
            </w:pPr>
            <w:r w:rsidRPr="0023752C">
              <w:rPr>
                <w:sz w:val="20"/>
              </w:rPr>
              <w:t>Unclassified</w:t>
            </w:r>
          </w:p>
        </w:tc>
      </w:tr>
      <w:tr w:rsidR="005A21CA" w:rsidRPr="0042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773" w:type="dxa"/>
            <w:vAlign w:val="center"/>
          </w:tcPr>
          <w:p w:rsidR="005A21CA" w:rsidRPr="0023752C" w:rsidRDefault="005A21CA" w:rsidP="005A21CA">
            <w:pPr>
              <w:spacing w:after="0"/>
              <w:jc w:val="left"/>
              <w:rPr>
                <w:sz w:val="20"/>
              </w:rPr>
            </w:pPr>
            <w:r w:rsidRPr="0023752C">
              <w:rPr>
                <w:sz w:val="20"/>
              </w:rPr>
              <w:t>PM2.5</w:t>
            </w:r>
          </w:p>
        </w:tc>
        <w:tc>
          <w:tcPr>
            <w:tcW w:w="2970" w:type="dxa"/>
            <w:vAlign w:val="center"/>
          </w:tcPr>
          <w:p w:rsidR="005A21CA" w:rsidRPr="0023752C" w:rsidRDefault="005A21CA" w:rsidP="005A21CA">
            <w:pPr>
              <w:spacing w:after="0"/>
              <w:jc w:val="left"/>
              <w:rPr>
                <w:b/>
                <w:sz w:val="20"/>
              </w:rPr>
            </w:pPr>
            <w:r w:rsidRPr="0023752C">
              <w:rPr>
                <w:b/>
                <w:sz w:val="20"/>
              </w:rPr>
              <w:t>Nonattainment</w:t>
            </w:r>
          </w:p>
        </w:tc>
        <w:tc>
          <w:tcPr>
            <w:tcW w:w="2898" w:type="dxa"/>
            <w:vAlign w:val="center"/>
          </w:tcPr>
          <w:p w:rsidR="005A21CA" w:rsidRPr="0023752C" w:rsidRDefault="005A21CA" w:rsidP="005A21CA">
            <w:pPr>
              <w:spacing w:after="0"/>
              <w:jc w:val="left"/>
              <w:rPr>
                <w:b/>
                <w:sz w:val="20"/>
              </w:rPr>
            </w:pPr>
            <w:r w:rsidRPr="0023752C">
              <w:rPr>
                <w:b/>
                <w:sz w:val="20"/>
              </w:rPr>
              <w:t>Nonattainment</w:t>
            </w:r>
          </w:p>
        </w:tc>
      </w:tr>
      <w:tr w:rsidR="005A21CA" w:rsidRPr="0042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773" w:type="dxa"/>
            <w:vAlign w:val="center"/>
          </w:tcPr>
          <w:p w:rsidR="005A21CA" w:rsidRPr="0023752C" w:rsidRDefault="005A21CA" w:rsidP="005A21CA">
            <w:pPr>
              <w:spacing w:after="0"/>
              <w:jc w:val="left"/>
              <w:rPr>
                <w:sz w:val="20"/>
              </w:rPr>
            </w:pPr>
            <w:r w:rsidRPr="0023752C">
              <w:rPr>
                <w:sz w:val="20"/>
              </w:rPr>
              <w:t>Carbon Monoxide</w:t>
            </w:r>
          </w:p>
        </w:tc>
        <w:tc>
          <w:tcPr>
            <w:tcW w:w="2970" w:type="dxa"/>
            <w:vAlign w:val="center"/>
          </w:tcPr>
          <w:p w:rsidR="005A21CA" w:rsidRPr="0023752C" w:rsidRDefault="005A21CA" w:rsidP="005A21CA">
            <w:pPr>
              <w:spacing w:after="0"/>
              <w:jc w:val="left"/>
              <w:rPr>
                <w:sz w:val="20"/>
              </w:rPr>
            </w:pPr>
            <w:r w:rsidRPr="0023752C">
              <w:rPr>
                <w:sz w:val="20"/>
              </w:rPr>
              <w:t>Attainment</w:t>
            </w:r>
          </w:p>
        </w:tc>
        <w:tc>
          <w:tcPr>
            <w:tcW w:w="2898" w:type="dxa"/>
            <w:vAlign w:val="center"/>
          </w:tcPr>
          <w:p w:rsidR="005A21CA" w:rsidRPr="0023752C" w:rsidRDefault="005A21CA" w:rsidP="005A21CA">
            <w:pPr>
              <w:spacing w:after="0"/>
              <w:jc w:val="left"/>
              <w:rPr>
                <w:sz w:val="20"/>
              </w:rPr>
            </w:pPr>
            <w:r w:rsidRPr="0023752C">
              <w:rPr>
                <w:sz w:val="20"/>
              </w:rPr>
              <w:t>Unclassified/Attainment</w:t>
            </w:r>
          </w:p>
        </w:tc>
      </w:tr>
      <w:tr w:rsidR="005A21CA" w:rsidRPr="0042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773" w:type="dxa"/>
            <w:vAlign w:val="center"/>
          </w:tcPr>
          <w:p w:rsidR="005A21CA" w:rsidRPr="0023752C" w:rsidRDefault="005A21CA" w:rsidP="005A21CA">
            <w:pPr>
              <w:spacing w:after="0"/>
              <w:jc w:val="left"/>
              <w:rPr>
                <w:sz w:val="20"/>
              </w:rPr>
            </w:pPr>
            <w:r w:rsidRPr="0023752C">
              <w:rPr>
                <w:sz w:val="20"/>
              </w:rPr>
              <w:t>Nitrogen Dioxide</w:t>
            </w:r>
          </w:p>
        </w:tc>
        <w:tc>
          <w:tcPr>
            <w:tcW w:w="2970" w:type="dxa"/>
            <w:vAlign w:val="center"/>
          </w:tcPr>
          <w:p w:rsidR="005A21CA" w:rsidRPr="0023752C" w:rsidRDefault="005A21CA" w:rsidP="005A21CA">
            <w:pPr>
              <w:spacing w:after="0"/>
              <w:jc w:val="left"/>
              <w:rPr>
                <w:sz w:val="20"/>
              </w:rPr>
            </w:pPr>
            <w:r w:rsidRPr="0023752C">
              <w:rPr>
                <w:sz w:val="20"/>
              </w:rPr>
              <w:t>Attainment</w:t>
            </w:r>
          </w:p>
        </w:tc>
        <w:tc>
          <w:tcPr>
            <w:tcW w:w="2898" w:type="dxa"/>
            <w:vAlign w:val="center"/>
          </w:tcPr>
          <w:p w:rsidR="005A21CA" w:rsidRPr="0023752C" w:rsidRDefault="005A21CA" w:rsidP="005A21CA">
            <w:pPr>
              <w:spacing w:after="0"/>
              <w:jc w:val="left"/>
              <w:rPr>
                <w:sz w:val="20"/>
              </w:rPr>
            </w:pPr>
            <w:r w:rsidRPr="0023752C">
              <w:rPr>
                <w:sz w:val="20"/>
              </w:rPr>
              <w:t>Unclassified/Attainment</w:t>
            </w:r>
          </w:p>
        </w:tc>
      </w:tr>
      <w:tr w:rsidR="005A21CA" w:rsidRPr="0042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773" w:type="dxa"/>
            <w:vAlign w:val="center"/>
          </w:tcPr>
          <w:p w:rsidR="005A21CA" w:rsidRPr="0023752C" w:rsidRDefault="005A21CA" w:rsidP="005A21CA">
            <w:pPr>
              <w:spacing w:after="0"/>
              <w:jc w:val="left"/>
              <w:rPr>
                <w:sz w:val="20"/>
              </w:rPr>
            </w:pPr>
            <w:r w:rsidRPr="0023752C">
              <w:rPr>
                <w:sz w:val="20"/>
              </w:rPr>
              <w:t>Sulfur Dioxide</w:t>
            </w:r>
          </w:p>
        </w:tc>
        <w:tc>
          <w:tcPr>
            <w:tcW w:w="2970" w:type="dxa"/>
            <w:vAlign w:val="center"/>
          </w:tcPr>
          <w:p w:rsidR="005A21CA" w:rsidRPr="0023752C" w:rsidRDefault="005A21CA" w:rsidP="005A21CA">
            <w:pPr>
              <w:spacing w:after="0"/>
              <w:jc w:val="left"/>
              <w:rPr>
                <w:sz w:val="20"/>
              </w:rPr>
            </w:pPr>
            <w:r w:rsidRPr="0023752C">
              <w:rPr>
                <w:sz w:val="20"/>
              </w:rPr>
              <w:t>Attainment</w:t>
            </w:r>
          </w:p>
        </w:tc>
        <w:tc>
          <w:tcPr>
            <w:tcW w:w="2898" w:type="dxa"/>
            <w:vAlign w:val="center"/>
          </w:tcPr>
          <w:p w:rsidR="005A21CA" w:rsidRPr="0023752C" w:rsidRDefault="005A21CA" w:rsidP="005A21CA">
            <w:pPr>
              <w:spacing w:after="0"/>
              <w:jc w:val="left"/>
              <w:rPr>
                <w:sz w:val="20"/>
              </w:rPr>
            </w:pPr>
            <w:r w:rsidRPr="0023752C">
              <w:rPr>
                <w:sz w:val="20"/>
              </w:rPr>
              <w:t>Attainment</w:t>
            </w:r>
          </w:p>
        </w:tc>
      </w:tr>
      <w:tr w:rsidR="005A21CA" w:rsidRPr="0042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773" w:type="dxa"/>
            <w:vAlign w:val="center"/>
          </w:tcPr>
          <w:p w:rsidR="005A21CA" w:rsidRPr="0023752C" w:rsidRDefault="005A21CA" w:rsidP="005A21CA">
            <w:pPr>
              <w:spacing w:after="0"/>
              <w:jc w:val="left"/>
              <w:rPr>
                <w:sz w:val="20"/>
              </w:rPr>
            </w:pPr>
            <w:r w:rsidRPr="0023752C">
              <w:rPr>
                <w:sz w:val="20"/>
              </w:rPr>
              <w:t>Sulfates</w:t>
            </w:r>
          </w:p>
        </w:tc>
        <w:tc>
          <w:tcPr>
            <w:tcW w:w="2970" w:type="dxa"/>
            <w:vAlign w:val="center"/>
          </w:tcPr>
          <w:p w:rsidR="005A21CA" w:rsidRPr="0023752C" w:rsidRDefault="005A21CA" w:rsidP="005A21CA">
            <w:pPr>
              <w:spacing w:after="0"/>
              <w:jc w:val="left"/>
              <w:rPr>
                <w:sz w:val="20"/>
              </w:rPr>
            </w:pPr>
            <w:r w:rsidRPr="0023752C">
              <w:rPr>
                <w:sz w:val="20"/>
              </w:rPr>
              <w:t>Attainment</w:t>
            </w:r>
          </w:p>
        </w:tc>
        <w:tc>
          <w:tcPr>
            <w:tcW w:w="2898" w:type="dxa"/>
            <w:vAlign w:val="center"/>
          </w:tcPr>
          <w:p w:rsidR="005A21CA" w:rsidRPr="0023752C" w:rsidRDefault="005A21CA" w:rsidP="005A21CA">
            <w:pPr>
              <w:spacing w:after="0"/>
              <w:jc w:val="left"/>
              <w:rPr>
                <w:sz w:val="20"/>
              </w:rPr>
            </w:pPr>
            <w:r w:rsidRPr="0023752C">
              <w:rPr>
                <w:sz w:val="20"/>
              </w:rPr>
              <w:t>No Federal Standard</w:t>
            </w:r>
          </w:p>
        </w:tc>
      </w:tr>
      <w:tr w:rsidR="005A21CA" w:rsidRPr="0042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773" w:type="dxa"/>
            <w:vAlign w:val="center"/>
          </w:tcPr>
          <w:p w:rsidR="005A21CA" w:rsidRPr="0023752C" w:rsidRDefault="005A21CA" w:rsidP="005A21CA">
            <w:pPr>
              <w:spacing w:after="0"/>
              <w:jc w:val="left"/>
              <w:rPr>
                <w:sz w:val="20"/>
              </w:rPr>
            </w:pPr>
            <w:r w:rsidRPr="0023752C">
              <w:rPr>
                <w:sz w:val="20"/>
              </w:rPr>
              <w:t>Lead</w:t>
            </w:r>
          </w:p>
        </w:tc>
        <w:tc>
          <w:tcPr>
            <w:tcW w:w="2970" w:type="dxa"/>
            <w:vAlign w:val="center"/>
          </w:tcPr>
          <w:p w:rsidR="005A21CA" w:rsidRPr="0023752C" w:rsidRDefault="005A21CA" w:rsidP="005A21CA">
            <w:pPr>
              <w:spacing w:after="0"/>
              <w:jc w:val="left"/>
              <w:rPr>
                <w:sz w:val="20"/>
              </w:rPr>
            </w:pPr>
            <w:r w:rsidRPr="0023752C">
              <w:rPr>
                <w:sz w:val="20"/>
              </w:rPr>
              <w:t>Attainment</w:t>
            </w:r>
          </w:p>
        </w:tc>
        <w:tc>
          <w:tcPr>
            <w:tcW w:w="2898" w:type="dxa"/>
            <w:vAlign w:val="center"/>
          </w:tcPr>
          <w:p w:rsidR="005A21CA" w:rsidRPr="0023752C" w:rsidRDefault="005A21CA" w:rsidP="005A21CA">
            <w:pPr>
              <w:spacing w:after="0"/>
              <w:jc w:val="left"/>
              <w:rPr>
                <w:sz w:val="20"/>
              </w:rPr>
            </w:pPr>
            <w:r w:rsidRPr="0023752C">
              <w:rPr>
                <w:sz w:val="20"/>
              </w:rPr>
              <w:t>No Federal Standard</w:t>
            </w:r>
          </w:p>
        </w:tc>
      </w:tr>
      <w:tr w:rsidR="005A21CA" w:rsidRPr="0042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773" w:type="dxa"/>
            <w:vAlign w:val="center"/>
          </w:tcPr>
          <w:p w:rsidR="005A21CA" w:rsidRPr="0023752C" w:rsidRDefault="005A21CA" w:rsidP="005A21CA">
            <w:pPr>
              <w:spacing w:after="0"/>
              <w:jc w:val="left"/>
              <w:rPr>
                <w:sz w:val="20"/>
              </w:rPr>
            </w:pPr>
            <w:r w:rsidRPr="0023752C">
              <w:rPr>
                <w:sz w:val="20"/>
              </w:rPr>
              <w:t>Hydrogen Sulfide</w:t>
            </w:r>
          </w:p>
        </w:tc>
        <w:tc>
          <w:tcPr>
            <w:tcW w:w="2970" w:type="dxa"/>
            <w:vAlign w:val="center"/>
          </w:tcPr>
          <w:p w:rsidR="005A21CA" w:rsidRPr="0023752C" w:rsidRDefault="005A21CA" w:rsidP="005A21CA">
            <w:pPr>
              <w:spacing w:after="0"/>
              <w:jc w:val="left"/>
              <w:rPr>
                <w:sz w:val="20"/>
              </w:rPr>
            </w:pPr>
            <w:r w:rsidRPr="0023752C">
              <w:rPr>
                <w:sz w:val="20"/>
              </w:rPr>
              <w:t>Unclassified</w:t>
            </w:r>
          </w:p>
        </w:tc>
        <w:tc>
          <w:tcPr>
            <w:tcW w:w="2898" w:type="dxa"/>
            <w:vAlign w:val="center"/>
          </w:tcPr>
          <w:p w:rsidR="005A21CA" w:rsidRPr="0023752C" w:rsidRDefault="005A21CA" w:rsidP="005A21CA">
            <w:pPr>
              <w:spacing w:after="0"/>
              <w:jc w:val="left"/>
              <w:rPr>
                <w:sz w:val="20"/>
              </w:rPr>
            </w:pPr>
            <w:r w:rsidRPr="0023752C">
              <w:rPr>
                <w:sz w:val="20"/>
              </w:rPr>
              <w:t>No Federal Standard</w:t>
            </w:r>
          </w:p>
        </w:tc>
      </w:tr>
      <w:tr w:rsidR="005A21CA" w:rsidRPr="0042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2773" w:type="dxa"/>
            <w:vAlign w:val="center"/>
          </w:tcPr>
          <w:p w:rsidR="005A21CA" w:rsidRPr="0023752C" w:rsidRDefault="005A21CA" w:rsidP="005A21CA">
            <w:pPr>
              <w:spacing w:after="0"/>
              <w:jc w:val="left"/>
              <w:rPr>
                <w:sz w:val="20"/>
              </w:rPr>
            </w:pPr>
            <w:r w:rsidRPr="0023752C">
              <w:rPr>
                <w:sz w:val="20"/>
              </w:rPr>
              <w:t>Visibility Reducing Particles</w:t>
            </w:r>
          </w:p>
        </w:tc>
        <w:tc>
          <w:tcPr>
            <w:tcW w:w="2970" w:type="dxa"/>
            <w:vAlign w:val="center"/>
          </w:tcPr>
          <w:p w:rsidR="005A21CA" w:rsidRPr="0023752C" w:rsidRDefault="005A21CA" w:rsidP="005A21CA">
            <w:pPr>
              <w:spacing w:after="0"/>
              <w:jc w:val="left"/>
              <w:rPr>
                <w:sz w:val="20"/>
              </w:rPr>
            </w:pPr>
            <w:r w:rsidRPr="0023752C">
              <w:rPr>
                <w:sz w:val="20"/>
              </w:rPr>
              <w:t>Unclassified</w:t>
            </w:r>
          </w:p>
        </w:tc>
        <w:tc>
          <w:tcPr>
            <w:tcW w:w="2898" w:type="dxa"/>
            <w:vAlign w:val="center"/>
          </w:tcPr>
          <w:p w:rsidR="005A21CA" w:rsidRPr="0023752C" w:rsidRDefault="005A21CA" w:rsidP="005A21CA">
            <w:pPr>
              <w:spacing w:after="0"/>
              <w:jc w:val="left"/>
              <w:rPr>
                <w:sz w:val="20"/>
              </w:rPr>
            </w:pPr>
            <w:r w:rsidRPr="0023752C">
              <w:rPr>
                <w:sz w:val="20"/>
              </w:rPr>
              <w:t>No Federal Standard</w:t>
            </w:r>
          </w:p>
        </w:tc>
      </w:tr>
    </w:tbl>
    <w:p w:rsidR="005A21CA" w:rsidRPr="0023752C" w:rsidRDefault="005A21CA" w:rsidP="005A21CA">
      <w:pPr>
        <w:pStyle w:val="Source"/>
      </w:pPr>
      <w:r w:rsidRPr="0023752C">
        <w:t>Sources: California Air Resources Board (2011). www.arb.ca.gov/desig/adm/adm.htm</w:t>
      </w:r>
    </w:p>
    <w:p w:rsidR="005A21CA" w:rsidRPr="00714D30" w:rsidRDefault="005A21CA" w:rsidP="005A21CA">
      <w:pPr>
        <w:pStyle w:val="Heading4"/>
      </w:pPr>
      <w:r w:rsidRPr="00714D30">
        <w:t>Air Quality Monitoring</w:t>
      </w:r>
    </w:p>
    <w:p w:rsidR="005A21CA" w:rsidRPr="00714D30" w:rsidRDefault="005A21CA" w:rsidP="005A21CA">
      <w:r w:rsidRPr="00714D30">
        <w:t>The Bay Area Air Quality Management District and CARB maintain two air quality monitoring site in Sonoma County. The first is located on Fifth Street in the City of Santa Rosa</w:t>
      </w:r>
      <w:r>
        <w:t>. This monitoring station monitors Ozone (1-hr and 8-hr), PM10, and PM2.5. The s</w:t>
      </w:r>
      <w:r w:rsidRPr="00714D30">
        <w:t xml:space="preserve">econd is located at the Healdsburg Airport. </w:t>
      </w:r>
      <w:r>
        <w:t xml:space="preserve">This monitoring station monitors Ozone (1-hr and 8-hr) only. </w:t>
      </w:r>
      <w:r w:rsidRPr="00714D30">
        <w:t xml:space="preserve">It is important to note that the federal ozone 1-hour standard was revoked by the EPA and is no longer applicable for federal standards. Data obtained from the 5th Street monitoring site over the last 3-year period is shown in </w:t>
      </w:r>
      <w:r w:rsidRPr="00714D30">
        <w:rPr>
          <w:b/>
          <w:bCs/>
        </w:rPr>
        <w:t>Table</w:t>
      </w:r>
      <w:r>
        <w:rPr>
          <w:b/>
          <w:bCs/>
        </w:rPr>
        <w:t>s</w:t>
      </w:r>
      <w:r w:rsidRPr="00714D30">
        <w:rPr>
          <w:b/>
          <w:bCs/>
        </w:rPr>
        <w:t xml:space="preserve"> </w:t>
      </w:r>
      <w:r>
        <w:rPr>
          <w:b/>
          <w:bCs/>
        </w:rPr>
        <w:t>3.2</w:t>
      </w:r>
      <w:r w:rsidRPr="00714D30">
        <w:rPr>
          <w:b/>
          <w:bCs/>
        </w:rPr>
        <w:t>-3</w:t>
      </w:r>
      <w:r>
        <w:rPr>
          <w:b/>
          <w:bCs/>
        </w:rPr>
        <w:t xml:space="preserve"> and 3.2-4</w:t>
      </w:r>
      <w:r w:rsidRPr="00714D30">
        <w:rPr>
          <w:b/>
          <w:bCs/>
        </w:rPr>
        <w:t>.</w:t>
      </w:r>
    </w:p>
    <w:tbl>
      <w:tblPr>
        <w:tblW w:w="9001" w:type="dxa"/>
        <w:tblInd w:w="107" w:type="dxa"/>
        <w:tblBorders>
          <w:top w:val="nil"/>
          <w:left w:val="nil"/>
          <w:bottom w:val="nil"/>
          <w:right w:val="nil"/>
        </w:tblBorders>
        <w:tblLayout w:type="fixed"/>
        <w:tblLook w:val="0000" w:firstRow="0" w:lastRow="0" w:firstColumn="0" w:lastColumn="0" w:noHBand="0" w:noVBand="0"/>
      </w:tblPr>
      <w:tblGrid>
        <w:gridCol w:w="1530"/>
        <w:gridCol w:w="1170"/>
        <w:gridCol w:w="91"/>
        <w:gridCol w:w="1260"/>
        <w:gridCol w:w="809"/>
        <w:gridCol w:w="1620"/>
        <w:gridCol w:w="2521"/>
      </w:tblGrid>
      <w:tr w:rsidR="005A21CA" w:rsidRPr="00423BAA">
        <w:trPr>
          <w:trHeight w:val="288"/>
          <w:tblHeader/>
        </w:trPr>
        <w:tc>
          <w:tcPr>
            <w:tcW w:w="9001" w:type="dxa"/>
            <w:gridSpan w:val="7"/>
            <w:tcBorders>
              <w:top w:val="single" w:sz="2" w:space="0" w:color="000000"/>
              <w:left w:val="single" w:sz="4" w:space="0" w:color="000000"/>
              <w:bottom w:val="single" w:sz="2" w:space="0" w:color="000000"/>
              <w:right w:val="single" w:sz="2" w:space="0" w:color="000000"/>
            </w:tcBorders>
            <w:shd w:val="clear" w:color="auto" w:fill="000000"/>
            <w:vAlign w:val="center"/>
          </w:tcPr>
          <w:p w:rsidR="005A21CA" w:rsidRPr="00DB6AD3" w:rsidRDefault="005A21CA" w:rsidP="005A21CA">
            <w:pPr>
              <w:pStyle w:val="Heading7"/>
              <w:rPr>
                <w:lang w:bidi="en-US"/>
              </w:rPr>
            </w:pPr>
            <w:r w:rsidRPr="00DB6AD3">
              <w:rPr>
                <w:color w:val="FFFFFF"/>
              </w:rPr>
              <w:t>Table 3.2-3: Ambient Air Quality Monitoring Data (Santa Rosa - 5th Street)</w:t>
            </w:r>
          </w:p>
        </w:tc>
      </w:tr>
      <w:tr w:rsidR="005A21CA" w:rsidRPr="0042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530" w:type="dxa"/>
            <w:vMerge w:val="restart"/>
            <w:shd w:val="clear" w:color="auto" w:fill="D9D9D9"/>
            <w:vAlign w:val="center"/>
          </w:tcPr>
          <w:p w:rsidR="005A21CA" w:rsidRPr="00DB6AD3" w:rsidRDefault="005A21CA" w:rsidP="005A21CA">
            <w:pPr>
              <w:pStyle w:val="TableHeadingRow"/>
              <w:rPr>
                <w:rFonts w:ascii="Calibri" w:hAnsi="Calibri"/>
              </w:rPr>
            </w:pPr>
            <w:r w:rsidRPr="00DB6AD3">
              <w:rPr>
                <w:rFonts w:ascii="Calibri" w:hAnsi="Calibri"/>
              </w:rPr>
              <w:t>Pollutant</w:t>
            </w:r>
          </w:p>
        </w:tc>
        <w:tc>
          <w:tcPr>
            <w:tcW w:w="1170" w:type="dxa"/>
            <w:shd w:val="clear" w:color="auto" w:fill="D9D9D9"/>
            <w:vAlign w:val="center"/>
          </w:tcPr>
          <w:p w:rsidR="005A21CA" w:rsidRPr="00DB6AD3" w:rsidRDefault="005A21CA" w:rsidP="005A21CA">
            <w:pPr>
              <w:pStyle w:val="TableHeadingRow"/>
              <w:rPr>
                <w:rFonts w:ascii="Calibri" w:hAnsi="Calibri"/>
              </w:rPr>
            </w:pPr>
            <w:r w:rsidRPr="00DB6AD3">
              <w:rPr>
                <w:rFonts w:ascii="Calibri" w:hAnsi="Calibri"/>
              </w:rPr>
              <w:t>Cal.</w:t>
            </w:r>
          </w:p>
        </w:tc>
        <w:tc>
          <w:tcPr>
            <w:tcW w:w="1351" w:type="dxa"/>
            <w:gridSpan w:val="2"/>
            <w:shd w:val="clear" w:color="auto" w:fill="D9D9D9"/>
            <w:vAlign w:val="center"/>
          </w:tcPr>
          <w:p w:rsidR="005A21CA" w:rsidRPr="00DB6AD3" w:rsidRDefault="005A21CA" w:rsidP="005A21CA">
            <w:pPr>
              <w:pStyle w:val="TableHeadingRow"/>
              <w:rPr>
                <w:rFonts w:ascii="Calibri" w:hAnsi="Calibri"/>
              </w:rPr>
            </w:pPr>
            <w:r w:rsidRPr="00DB6AD3">
              <w:rPr>
                <w:rFonts w:ascii="Calibri" w:hAnsi="Calibri"/>
              </w:rPr>
              <w:t>Fed.</w:t>
            </w:r>
          </w:p>
        </w:tc>
        <w:tc>
          <w:tcPr>
            <w:tcW w:w="809" w:type="dxa"/>
            <w:vMerge w:val="restart"/>
            <w:shd w:val="clear" w:color="auto" w:fill="D9D9D9"/>
            <w:vAlign w:val="center"/>
          </w:tcPr>
          <w:p w:rsidR="005A21CA" w:rsidRPr="00DB6AD3" w:rsidRDefault="005A21CA" w:rsidP="005A21CA">
            <w:pPr>
              <w:pStyle w:val="TableHeadingRow"/>
              <w:rPr>
                <w:rFonts w:ascii="Calibri" w:hAnsi="Calibri"/>
              </w:rPr>
            </w:pPr>
            <w:r w:rsidRPr="00DB6AD3">
              <w:rPr>
                <w:rFonts w:ascii="Calibri" w:hAnsi="Calibri"/>
              </w:rPr>
              <w:t>Year</w:t>
            </w:r>
          </w:p>
        </w:tc>
        <w:tc>
          <w:tcPr>
            <w:tcW w:w="1620" w:type="dxa"/>
            <w:vMerge w:val="restart"/>
            <w:shd w:val="clear" w:color="auto" w:fill="D9D9D9"/>
            <w:vAlign w:val="center"/>
          </w:tcPr>
          <w:p w:rsidR="005A21CA" w:rsidRPr="00DB6AD3" w:rsidRDefault="005A21CA" w:rsidP="005A21CA">
            <w:pPr>
              <w:pStyle w:val="TableHeadingRow"/>
              <w:rPr>
                <w:rFonts w:ascii="Calibri" w:hAnsi="Calibri"/>
              </w:rPr>
            </w:pPr>
            <w:r w:rsidRPr="00DB6AD3">
              <w:rPr>
                <w:rFonts w:ascii="Calibri" w:hAnsi="Calibri"/>
              </w:rPr>
              <w:t>Max Concentration</w:t>
            </w:r>
          </w:p>
        </w:tc>
        <w:tc>
          <w:tcPr>
            <w:tcW w:w="2521" w:type="dxa"/>
            <w:vMerge w:val="restart"/>
            <w:shd w:val="clear" w:color="auto" w:fill="D9D9D9"/>
            <w:vAlign w:val="center"/>
          </w:tcPr>
          <w:p w:rsidR="005A21CA" w:rsidRPr="00DB6AD3" w:rsidRDefault="005A21CA" w:rsidP="005A21CA">
            <w:pPr>
              <w:pStyle w:val="TableHeadingRow"/>
              <w:rPr>
                <w:rFonts w:ascii="Calibri" w:hAnsi="Calibri"/>
              </w:rPr>
            </w:pPr>
            <w:r w:rsidRPr="00DB6AD3">
              <w:rPr>
                <w:rFonts w:ascii="Calibri" w:hAnsi="Calibri"/>
              </w:rPr>
              <w:t>Days (samples) State/Fed Standard Exceeded</w:t>
            </w:r>
          </w:p>
        </w:tc>
      </w:tr>
      <w:tr w:rsidR="005A21CA" w:rsidRPr="0042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530" w:type="dxa"/>
            <w:vMerge/>
            <w:shd w:val="clear" w:color="auto" w:fill="D9D9D9"/>
          </w:tcPr>
          <w:p w:rsidR="005A21CA" w:rsidRPr="00FF57D2" w:rsidRDefault="005A21CA" w:rsidP="005A21CA">
            <w:pPr>
              <w:spacing w:after="0"/>
              <w:jc w:val="left"/>
              <w:rPr>
                <w:sz w:val="20"/>
              </w:rPr>
            </w:pPr>
          </w:p>
        </w:tc>
        <w:tc>
          <w:tcPr>
            <w:tcW w:w="2521" w:type="dxa"/>
            <w:gridSpan w:val="3"/>
            <w:shd w:val="clear" w:color="auto" w:fill="D9D9D9"/>
          </w:tcPr>
          <w:p w:rsidR="005A21CA" w:rsidRPr="00DB6AD3" w:rsidRDefault="005A21CA" w:rsidP="005A21CA">
            <w:pPr>
              <w:pStyle w:val="TableHeadingRow"/>
              <w:rPr>
                <w:rFonts w:ascii="Calibri" w:hAnsi="Calibri"/>
              </w:rPr>
            </w:pPr>
            <w:r w:rsidRPr="00DB6AD3">
              <w:rPr>
                <w:rFonts w:ascii="Calibri" w:hAnsi="Calibri"/>
              </w:rPr>
              <w:t>Primary Standard</w:t>
            </w:r>
          </w:p>
        </w:tc>
        <w:tc>
          <w:tcPr>
            <w:tcW w:w="809" w:type="dxa"/>
            <w:vMerge/>
            <w:shd w:val="clear" w:color="auto" w:fill="D9D9D9"/>
          </w:tcPr>
          <w:p w:rsidR="005A21CA" w:rsidRPr="00FF57D2" w:rsidRDefault="005A21CA" w:rsidP="005A21CA">
            <w:pPr>
              <w:spacing w:after="0"/>
              <w:jc w:val="left"/>
              <w:outlineLvl w:val="0"/>
              <w:rPr>
                <w:sz w:val="20"/>
              </w:rPr>
            </w:pPr>
          </w:p>
        </w:tc>
        <w:tc>
          <w:tcPr>
            <w:tcW w:w="1620" w:type="dxa"/>
            <w:vMerge/>
            <w:shd w:val="clear" w:color="auto" w:fill="D9D9D9"/>
          </w:tcPr>
          <w:p w:rsidR="005A21CA" w:rsidRPr="00FF57D2" w:rsidRDefault="005A21CA" w:rsidP="005A21CA">
            <w:pPr>
              <w:spacing w:after="0"/>
              <w:jc w:val="left"/>
              <w:outlineLvl w:val="0"/>
              <w:rPr>
                <w:sz w:val="20"/>
              </w:rPr>
            </w:pPr>
          </w:p>
        </w:tc>
        <w:tc>
          <w:tcPr>
            <w:tcW w:w="2521" w:type="dxa"/>
            <w:vMerge/>
            <w:shd w:val="clear" w:color="auto" w:fill="D9D9D9"/>
          </w:tcPr>
          <w:p w:rsidR="005A21CA" w:rsidRPr="00FF57D2" w:rsidRDefault="005A21CA" w:rsidP="005A21CA">
            <w:pPr>
              <w:spacing w:after="0"/>
              <w:jc w:val="left"/>
              <w:outlineLvl w:val="0"/>
              <w:rPr>
                <w:sz w:val="20"/>
              </w:rPr>
            </w:pPr>
          </w:p>
        </w:tc>
      </w:tr>
      <w:tr w:rsidR="005A21CA" w:rsidRPr="0042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530" w:type="dxa"/>
            <w:shd w:val="clear" w:color="auto" w:fill="auto"/>
            <w:vAlign w:val="center"/>
          </w:tcPr>
          <w:p w:rsidR="005A21CA" w:rsidRPr="00FF57D2" w:rsidRDefault="005A21CA" w:rsidP="005A21CA">
            <w:pPr>
              <w:spacing w:after="0"/>
              <w:jc w:val="center"/>
              <w:rPr>
                <w:sz w:val="20"/>
              </w:rPr>
            </w:pPr>
            <w:r w:rsidRPr="00FF57D2">
              <w:rPr>
                <w:sz w:val="20"/>
              </w:rPr>
              <w:t>Ozone (O3)</w:t>
            </w:r>
          </w:p>
          <w:p w:rsidR="005A21CA" w:rsidRPr="00FF57D2" w:rsidRDefault="005A21CA" w:rsidP="005A21CA">
            <w:pPr>
              <w:spacing w:after="0"/>
              <w:jc w:val="center"/>
              <w:rPr>
                <w:sz w:val="20"/>
              </w:rPr>
            </w:pPr>
            <w:r w:rsidRPr="00FF57D2">
              <w:rPr>
                <w:sz w:val="20"/>
              </w:rPr>
              <w:t>(1-hour)</w:t>
            </w:r>
          </w:p>
        </w:tc>
        <w:tc>
          <w:tcPr>
            <w:tcW w:w="1261" w:type="dxa"/>
            <w:gridSpan w:val="2"/>
            <w:vAlign w:val="center"/>
          </w:tcPr>
          <w:p w:rsidR="005A21CA" w:rsidRPr="00FF57D2" w:rsidRDefault="005A21CA" w:rsidP="005A21CA">
            <w:pPr>
              <w:spacing w:after="0"/>
              <w:jc w:val="center"/>
              <w:rPr>
                <w:sz w:val="20"/>
              </w:rPr>
            </w:pPr>
            <w:r w:rsidRPr="00FF57D2">
              <w:rPr>
                <w:sz w:val="20"/>
              </w:rPr>
              <w:t>0.09 ppm for 1 hour</w:t>
            </w:r>
          </w:p>
        </w:tc>
        <w:tc>
          <w:tcPr>
            <w:tcW w:w="1260" w:type="dxa"/>
            <w:vAlign w:val="center"/>
          </w:tcPr>
          <w:p w:rsidR="005A21CA" w:rsidRPr="00FF57D2" w:rsidRDefault="005A21CA" w:rsidP="005A21CA">
            <w:pPr>
              <w:spacing w:after="0"/>
              <w:jc w:val="center"/>
              <w:rPr>
                <w:sz w:val="20"/>
              </w:rPr>
            </w:pPr>
            <w:r w:rsidRPr="00FF57D2">
              <w:rPr>
                <w:sz w:val="20"/>
              </w:rPr>
              <w:t>NA</w:t>
            </w:r>
          </w:p>
        </w:tc>
        <w:tc>
          <w:tcPr>
            <w:tcW w:w="809" w:type="dxa"/>
          </w:tcPr>
          <w:p w:rsidR="005A21CA" w:rsidRPr="00FF57D2" w:rsidRDefault="005A21CA" w:rsidP="005A21CA">
            <w:pPr>
              <w:spacing w:after="0"/>
              <w:jc w:val="center"/>
              <w:rPr>
                <w:sz w:val="20"/>
              </w:rPr>
            </w:pPr>
            <w:r w:rsidRPr="00FF57D2">
              <w:rPr>
                <w:sz w:val="20"/>
              </w:rPr>
              <w:t>2007</w:t>
            </w:r>
          </w:p>
          <w:p w:rsidR="005A21CA" w:rsidRPr="00FF57D2" w:rsidRDefault="005A21CA" w:rsidP="005A21CA">
            <w:pPr>
              <w:spacing w:after="0"/>
              <w:jc w:val="center"/>
              <w:rPr>
                <w:sz w:val="20"/>
              </w:rPr>
            </w:pPr>
            <w:r w:rsidRPr="00FF57D2">
              <w:rPr>
                <w:sz w:val="20"/>
              </w:rPr>
              <w:t>2008</w:t>
            </w:r>
          </w:p>
          <w:p w:rsidR="005A21CA" w:rsidRPr="00FF57D2" w:rsidRDefault="005A21CA" w:rsidP="005A21CA">
            <w:pPr>
              <w:spacing w:after="0"/>
              <w:jc w:val="center"/>
              <w:rPr>
                <w:sz w:val="20"/>
              </w:rPr>
            </w:pPr>
            <w:r w:rsidRPr="00FF57D2">
              <w:rPr>
                <w:sz w:val="20"/>
              </w:rPr>
              <w:t>2009</w:t>
            </w:r>
          </w:p>
        </w:tc>
        <w:tc>
          <w:tcPr>
            <w:tcW w:w="1620" w:type="dxa"/>
          </w:tcPr>
          <w:p w:rsidR="005A21CA" w:rsidRPr="00FF57D2" w:rsidRDefault="005A21CA" w:rsidP="005A21CA">
            <w:pPr>
              <w:spacing w:after="0"/>
              <w:jc w:val="center"/>
              <w:rPr>
                <w:sz w:val="20"/>
              </w:rPr>
            </w:pPr>
            <w:r w:rsidRPr="00FF57D2">
              <w:rPr>
                <w:sz w:val="20"/>
              </w:rPr>
              <w:t>0.071</w:t>
            </w:r>
          </w:p>
          <w:p w:rsidR="005A21CA" w:rsidRPr="00FF57D2" w:rsidRDefault="005A21CA" w:rsidP="005A21CA">
            <w:pPr>
              <w:spacing w:after="0"/>
              <w:jc w:val="center"/>
              <w:rPr>
                <w:sz w:val="20"/>
              </w:rPr>
            </w:pPr>
            <w:r w:rsidRPr="00FF57D2">
              <w:rPr>
                <w:sz w:val="20"/>
              </w:rPr>
              <w:t>0.076</w:t>
            </w:r>
          </w:p>
          <w:p w:rsidR="005A21CA" w:rsidRPr="00FF57D2" w:rsidRDefault="005A21CA" w:rsidP="005A21CA">
            <w:pPr>
              <w:spacing w:after="0"/>
              <w:jc w:val="center"/>
              <w:rPr>
                <w:sz w:val="20"/>
              </w:rPr>
            </w:pPr>
            <w:r w:rsidRPr="00FF57D2">
              <w:rPr>
                <w:sz w:val="20"/>
              </w:rPr>
              <w:t>0.086</w:t>
            </w:r>
          </w:p>
        </w:tc>
        <w:tc>
          <w:tcPr>
            <w:tcW w:w="2521" w:type="dxa"/>
          </w:tcPr>
          <w:p w:rsidR="005A21CA" w:rsidRPr="00FF57D2" w:rsidRDefault="005A21CA" w:rsidP="005A21CA">
            <w:pPr>
              <w:spacing w:after="0"/>
              <w:jc w:val="center"/>
              <w:rPr>
                <w:sz w:val="20"/>
              </w:rPr>
            </w:pPr>
            <w:r w:rsidRPr="00FF57D2">
              <w:rPr>
                <w:sz w:val="20"/>
              </w:rPr>
              <w:t>0/NA</w:t>
            </w:r>
          </w:p>
          <w:p w:rsidR="005A21CA" w:rsidRPr="00FF57D2" w:rsidRDefault="005A21CA" w:rsidP="005A21CA">
            <w:pPr>
              <w:spacing w:after="0"/>
              <w:jc w:val="center"/>
              <w:rPr>
                <w:sz w:val="20"/>
              </w:rPr>
            </w:pPr>
            <w:r w:rsidRPr="00FF57D2">
              <w:rPr>
                <w:sz w:val="20"/>
              </w:rPr>
              <w:t>0/NA</w:t>
            </w:r>
          </w:p>
          <w:p w:rsidR="005A21CA" w:rsidRPr="00FF57D2" w:rsidRDefault="005A21CA" w:rsidP="005A21CA">
            <w:pPr>
              <w:spacing w:after="0"/>
              <w:jc w:val="center"/>
              <w:rPr>
                <w:sz w:val="20"/>
              </w:rPr>
            </w:pPr>
            <w:r w:rsidRPr="00FF57D2">
              <w:rPr>
                <w:sz w:val="20"/>
              </w:rPr>
              <w:t>0/NA</w:t>
            </w:r>
          </w:p>
        </w:tc>
      </w:tr>
      <w:tr w:rsidR="005A21CA" w:rsidRPr="0042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530" w:type="dxa"/>
            <w:shd w:val="clear" w:color="auto" w:fill="auto"/>
            <w:vAlign w:val="center"/>
          </w:tcPr>
          <w:p w:rsidR="005A21CA" w:rsidRPr="00FF57D2" w:rsidRDefault="005A21CA" w:rsidP="005A21CA">
            <w:pPr>
              <w:spacing w:after="0"/>
              <w:jc w:val="center"/>
              <w:rPr>
                <w:sz w:val="20"/>
              </w:rPr>
            </w:pPr>
            <w:r w:rsidRPr="00FF57D2">
              <w:rPr>
                <w:sz w:val="20"/>
              </w:rPr>
              <w:t>Ozone (O3)</w:t>
            </w:r>
          </w:p>
          <w:p w:rsidR="005A21CA" w:rsidRPr="00FF57D2" w:rsidRDefault="005A21CA" w:rsidP="005A21CA">
            <w:pPr>
              <w:spacing w:after="0"/>
              <w:jc w:val="center"/>
              <w:rPr>
                <w:sz w:val="20"/>
              </w:rPr>
            </w:pPr>
            <w:r w:rsidRPr="00FF57D2">
              <w:rPr>
                <w:sz w:val="20"/>
              </w:rPr>
              <w:t>(8-hour)</w:t>
            </w:r>
          </w:p>
        </w:tc>
        <w:tc>
          <w:tcPr>
            <w:tcW w:w="1261" w:type="dxa"/>
            <w:gridSpan w:val="2"/>
            <w:vAlign w:val="center"/>
          </w:tcPr>
          <w:p w:rsidR="005A21CA" w:rsidRPr="00FF57D2" w:rsidRDefault="005A21CA" w:rsidP="005A21CA">
            <w:pPr>
              <w:spacing w:after="0"/>
              <w:jc w:val="center"/>
              <w:rPr>
                <w:sz w:val="20"/>
              </w:rPr>
            </w:pPr>
            <w:r w:rsidRPr="00FF57D2">
              <w:rPr>
                <w:sz w:val="20"/>
              </w:rPr>
              <w:t>0.07 ppm for 8 hour</w:t>
            </w:r>
          </w:p>
        </w:tc>
        <w:tc>
          <w:tcPr>
            <w:tcW w:w="1260" w:type="dxa"/>
            <w:vAlign w:val="center"/>
          </w:tcPr>
          <w:p w:rsidR="005A21CA" w:rsidRPr="00FF57D2" w:rsidRDefault="005A21CA" w:rsidP="005A21CA">
            <w:pPr>
              <w:spacing w:after="0"/>
              <w:jc w:val="center"/>
              <w:rPr>
                <w:sz w:val="20"/>
              </w:rPr>
            </w:pPr>
            <w:r w:rsidRPr="00FF57D2">
              <w:rPr>
                <w:sz w:val="20"/>
              </w:rPr>
              <w:t>0.075 ppm for 8 hour</w:t>
            </w:r>
          </w:p>
        </w:tc>
        <w:tc>
          <w:tcPr>
            <w:tcW w:w="809" w:type="dxa"/>
          </w:tcPr>
          <w:p w:rsidR="005A21CA" w:rsidRPr="00FF57D2" w:rsidRDefault="005A21CA" w:rsidP="005A21CA">
            <w:pPr>
              <w:spacing w:after="0"/>
              <w:jc w:val="center"/>
              <w:rPr>
                <w:sz w:val="20"/>
              </w:rPr>
            </w:pPr>
            <w:r w:rsidRPr="00FF57D2">
              <w:rPr>
                <w:sz w:val="20"/>
              </w:rPr>
              <w:t>2007</w:t>
            </w:r>
          </w:p>
          <w:p w:rsidR="005A21CA" w:rsidRPr="00FF57D2" w:rsidRDefault="005A21CA" w:rsidP="005A21CA">
            <w:pPr>
              <w:spacing w:after="0"/>
              <w:jc w:val="center"/>
              <w:rPr>
                <w:sz w:val="20"/>
              </w:rPr>
            </w:pPr>
            <w:r w:rsidRPr="00FF57D2">
              <w:rPr>
                <w:sz w:val="20"/>
              </w:rPr>
              <w:t>2008</w:t>
            </w:r>
          </w:p>
          <w:p w:rsidR="005A21CA" w:rsidRPr="00FF57D2" w:rsidRDefault="005A21CA" w:rsidP="005A21CA">
            <w:pPr>
              <w:spacing w:after="0"/>
              <w:jc w:val="center"/>
              <w:rPr>
                <w:sz w:val="20"/>
              </w:rPr>
            </w:pPr>
            <w:r w:rsidRPr="00FF57D2">
              <w:rPr>
                <w:sz w:val="20"/>
              </w:rPr>
              <w:t>2009</w:t>
            </w:r>
          </w:p>
        </w:tc>
        <w:tc>
          <w:tcPr>
            <w:tcW w:w="1620" w:type="dxa"/>
          </w:tcPr>
          <w:p w:rsidR="005A21CA" w:rsidRPr="00FF57D2" w:rsidRDefault="005A21CA" w:rsidP="005A21CA">
            <w:pPr>
              <w:spacing w:after="0"/>
              <w:jc w:val="center"/>
              <w:rPr>
                <w:sz w:val="20"/>
              </w:rPr>
            </w:pPr>
            <w:r w:rsidRPr="00FF57D2">
              <w:rPr>
                <w:sz w:val="20"/>
              </w:rPr>
              <w:t>0.060</w:t>
            </w:r>
          </w:p>
          <w:p w:rsidR="005A21CA" w:rsidRPr="00FF57D2" w:rsidRDefault="005A21CA" w:rsidP="005A21CA">
            <w:pPr>
              <w:spacing w:after="0"/>
              <w:jc w:val="center"/>
              <w:rPr>
                <w:sz w:val="20"/>
              </w:rPr>
            </w:pPr>
            <w:r w:rsidRPr="00FF57D2">
              <w:rPr>
                <w:sz w:val="20"/>
              </w:rPr>
              <w:t>0.065</w:t>
            </w:r>
          </w:p>
          <w:p w:rsidR="005A21CA" w:rsidRPr="00FF57D2" w:rsidRDefault="005A21CA" w:rsidP="005A21CA">
            <w:pPr>
              <w:spacing w:after="0"/>
              <w:jc w:val="center"/>
              <w:rPr>
                <w:sz w:val="20"/>
              </w:rPr>
            </w:pPr>
            <w:r w:rsidRPr="00FF57D2">
              <w:rPr>
                <w:sz w:val="20"/>
              </w:rPr>
              <w:t>0.066</w:t>
            </w:r>
          </w:p>
        </w:tc>
        <w:tc>
          <w:tcPr>
            <w:tcW w:w="2521" w:type="dxa"/>
          </w:tcPr>
          <w:p w:rsidR="005A21CA" w:rsidRPr="00FF57D2" w:rsidRDefault="005A21CA" w:rsidP="005A21CA">
            <w:pPr>
              <w:spacing w:after="0"/>
              <w:jc w:val="center"/>
              <w:rPr>
                <w:sz w:val="20"/>
              </w:rPr>
            </w:pPr>
            <w:r w:rsidRPr="00FF57D2">
              <w:rPr>
                <w:sz w:val="20"/>
              </w:rPr>
              <w:t>0/0</w:t>
            </w:r>
          </w:p>
          <w:p w:rsidR="005A21CA" w:rsidRPr="00FF57D2" w:rsidRDefault="005A21CA" w:rsidP="005A21CA">
            <w:pPr>
              <w:spacing w:after="0"/>
              <w:jc w:val="center"/>
              <w:rPr>
                <w:sz w:val="20"/>
              </w:rPr>
            </w:pPr>
            <w:r w:rsidRPr="00FF57D2">
              <w:rPr>
                <w:sz w:val="20"/>
              </w:rPr>
              <w:t>0/0</w:t>
            </w:r>
          </w:p>
          <w:p w:rsidR="005A21CA" w:rsidRPr="00FF57D2" w:rsidRDefault="005A21CA" w:rsidP="005A21CA">
            <w:pPr>
              <w:spacing w:after="0"/>
              <w:jc w:val="center"/>
              <w:rPr>
                <w:sz w:val="20"/>
              </w:rPr>
            </w:pPr>
            <w:r w:rsidRPr="00FF57D2">
              <w:rPr>
                <w:sz w:val="20"/>
              </w:rPr>
              <w:t>0/0</w:t>
            </w:r>
          </w:p>
        </w:tc>
      </w:tr>
      <w:tr w:rsidR="005A21CA" w:rsidRPr="0042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530" w:type="dxa"/>
            <w:shd w:val="clear" w:color="auto" w:fill="auto"/>
            <w:vAlign w:val="center"/>
          </w:tcPr>
          <w:p w:rsidR="005A21CA" w:rsidRPr="00527906" w:rsidRDefault="005A21CA" w:rsidP="005A21CA">
            <w:pPr>
              <w:spacing w:after="0"/>
              <w:jc w:val="center"/>
              <w:rPr>
                <w:sz w:val="20"/>
              </w:rPr>
            </w:pPr>
            <w:r w:rsidRPr="00527906">
              <w:rPr>
                <w:sz w:val="20"/>
              </w:rPr>
              <w:t>Particulate</w:t>
            </w:r>
          </w:p>
          <w:p w:rsidR="005A21CA" w:rsidRPr="00527906" w:rsidRDefault="005A21CA" w:rsidP="005A21CA">
            <w:pPr>
              <w:spacing w:after="0"/>
              <w:jc w:val="center"/>
              <w:rPr>
                <w:sz w:val="20"/>
              </w:rPr>
            </w:pPr>
            <w:r w:rsidRPr="00527906">
              <w:rPr>
                <w:sz w:val="20"/>
              </w:rPr>
              <w:t>Matter (PM10)</w:t>
            </w:r>
          </w:p>
        </w:tc>
        <w:tc>
          <w:tcPr>
            <w:tcW w:w="1261" w:type="dxa"/>
            <w:gridSpan w:val="2"/>
            <w:vAlign w:val="center"/>
          </w:tcPr>
          <w:p w:rsidR="005A21CA" w:rsidRPr="00527906" w:rsidRDefault="005A21CA" w:rsidP="005A21CA">
            <w:pPr>
              <w:spacing w:after="0"/>
              <w:jc w:val="center"/>
              <w:rPr>
                <w:sz w:val="20"/>
              </w:rPr>
            </w:pPr>
            <w:r w:rsidRPr="00527906">
              <w:rPr>
                <w:sz w:val="20"/>
              </w:rPr>
              <w:t>50 ug/m3 for 24 hours</w:t>
            </w:r>
          </w:p>
        </w:tc>
        <w:tc>
          <w:tcPr>
            <w:tcW w:w="1260" w:type="dxa"/>
            <w:vAlign w:val="center"/>
          </w:tcPr>
          <w:p w:rsidR="005A21CA" w:rsidRPr="00527906" w:rsidRDefault="005A21CA" w:rsidP="005A21CA">
            <w:pPr>
              <w:spacing w:after="0"/>
              <w:jc w:val="center"/>
              <w:rPr>
                <w:sz w:val="20"/>
              </w:rPr>
            </w:pPr>
            <w:r w:rsidRPr="00527906">
              <w:rPr>
                <w:sz w:val="20"/>
              </w:rPr>
              <w:t>150 ug/m3 for 24 hours</w:t>
            </w:r>
          </w:p>
        </w:tc>
        <w:tc>
          <w:tcPr>
            <w:tcW w:w="809" w:type="dxa"/>
          </w:tcPr>
          <w:p w:rsidR="005A21CA" w:rsidRPr="00527906" w:rsidRDefault="005A21CA" w:rsidP="005A21CA">
            <w:pPr>
              <w:spacing w:after="0"/>
              <w:jc w:val="center"/>
              <w:rPr>
                <w:sz w:val="20"/>
              </w:rPr>
            </w:pPr>
            <w:r w:rsidRPr="00527906">
              <w:rPr>
                <w:sz w:val="20"/>
              </w:rPr>
              <w:t>2007</w:t>
            </w:r>
          </w:p>
          <w:p w:rsidR="005A21CA" w:rsidRPr="00527906" w:rsidRDefault="005A21CA" w:rsidP="005A21CA">
            <w:pPr>
              <w:spacing w:after="0"/>
              <w:jc w:val="center"/>
              <w:rPr>
                <w:sz w:val="20"/>
              </w:rPr>
            </w:pPr>
            <w:r w:rsidRPr="00527906">
              <w:rPr>
                <w:sz w:val="20"/>
              </w:rPr>
              <w:t>2008</w:t>
            </w:r>
          </w:p>
          <w:p w:rsidR="005A21CA" w:rsidRPr="00527906" w:rsidRDefault="005A21CA" w:rsidP="005A21CA">
            <w:pPr>
              <w:spacing w:after="0"/>
              <w:jc w:val="center"/>
              <w:rPr>
                <w:sz w:val="20"/>
              </w:rPr>
            </w:pPr>
            <w:r w:rsidRPr="00527906">
              <w:rPr>
                <w:sz w:val="20"/>
              </w:rPr>
              <w:t>2009</w:t>
            </w:r>
          </w:p>
        </w:tc>
        <w:tc>
          <w:tcPr>
            <w:tcW w:w="1620" w:type="dxa"/>
          </w:tcPr>
          <w:p w:rsidR="005A21CA" w:rsidRPr="00527906" w:rsidRDefault="005A21CA" w:rsidP="005A21CA">
            <w:pPr>
              <w:spacing w:after="0"/>
              <w:jc w:val="center"/>
              <w:rPr>
                <w:sz w:val="20"/>
              </w:rPr>
            </w:pPr>
            <w:r w:rsidRPr="00527906">
              <w:rPr>
                <w:sz w:val="20"/>
              </w:rPr>
              <w:t>37.2</w:t>
            </w:r>
          </w:p>
          <w:p w:rsidR="005A21CA" w:rsidRPr="00527906" w:rsidRDefault="005A21CA" w:rsidP="005A21CA">
            <w:pPr>
              <w:spacing w:after="0"/>
              <w:jc w:val="center"/>
              <w:rPr>
                <w:sz w:val="20"/>
              </w:rPr>
            </w:pPr>
            <w:r w:rsidRPr="00527906">
              <w:rPr>
                <w:sz w:val="20"/>
              </w:rPr>
              <w:t>49.9</w:t>
            </w:r>
          </w:p>
          <w:p w:rsidR="005A21CA" w:rsidRPr="00527906" w:rsidRDefault="005A21CA" w:rsidP="005A21CA">
            <w:pPr>
              <w:spacing w:after="0"/>
              <w:jc w:val="center"/>
              <w:rPr>
                <w:sz w:val="20"/>
              </w:rPr>
            </w:pPr>
            <w:r w:rsidRPr="00527906">
              <w:rPr>
                <w:sz w:val="20"/>
              </w:rPr>
              <w:t>NA</w:t>
            </w:r>
          </w:p>
        </w:tc>
        <w:tc>
          <w:tcPr>
            <w:tcW w:w="2521" w:type="dxa"/>
          </w:tcPr>
          <w:p w:rsidR="005A21CA" w:rsidRPr="00527906" w:rsidRDefault="005A21CA" w:rsidP="005A21CA">
            <w:pPr>
              <w:spacing w:after="0"/>
              <w:jc w:val="center"/>
              <w:rPr>
                <w:sz w:val="20"/>
              </w:rPr>
            </w:pPr>
            <w:r w:rsidRPr="00527906">
              <w:rPr>
                <w:sz w:val="20"/>
              </w:rPr>
              <w:t>0/0</w:t>
            </w:r>
          </w:p>
          <w:p w:rsidR="005A21CA" w:rsidRPr="00527906" w:rsidRDefault="005A21CA" w:rsidP="005A21CA">
            <w:pPr>
              <w:spacing w:after="0"/>
              <w:jc w:val="center"/>
              <w:rPr>
                <w:sz w:val="20"/>
              </w:rPr>
            </w:pPr>
            <w:r w:rsidRPr="00527906">
              <w:rPr>
                <w:sz w:val="20"/>
              </w:rPr>
              <w:t>0/0</w:t>
            </w:r>
          </w:p>
          <w:p w:rsidR="005A21CA" w:rsidRPr="00527906" w:rsidRDefault="005A21CA" w:rsidP="005A21CA">
            <w:pPr>
              <w:spacing w:after="0"/>
              <w:jc w:val="center"/>
              <w:rPr>
                <w:sz w:val="20"/>
              </w:rPr>
            </w:pPr>
            <w:r w:rsidRPr="00527906">
              <w:rPr>
                <w:sz w:val="20"/>
              </w:rPr>
              <w:t>*/*</w:t>
            </w:r>
          </w:p>
        </w:tc>
      </w:tr>
      <w:tr w:rsidR="005A21CA" w:rsidRPr="0042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530" w:type="dxa"/>
            <w:shd w:val="clear" w:color="auto" w:fill="auto"/>
            <w:vAlign w:val="center"/>
          </w:tcPr>
          <w:p w:rsidR="005A21CA" w:rsidRPr="00527906" w:rsidRDefault="005A21CA" w:rsidP="005A21CA">
            <w:pPr>
              <w:spacing w:after="0"/>
              <w:jc w:val="center"/>
              <w:rPr>
                <w:sz w:val="20"/>
              </w:rPr>
            </w:pPr>
            <w:r w:rsidRPr="00527906">
              <w:rPr>
                <w:sz w:val="20"/>
              </w:rPr>
              <w:t>Particulate</w:t>
            </w:r>
          </w:p>
          <w:p w:rsidR="005A21CA" w:rsidRPr="00527906" w:rsidRDefault="005A21CA" w:rsidP="005A21CA">
            <w:pPr>
              <w:spacing w:after="0"/>
              <w:jc w:val="center"/>
              <w:rPr>
                <w:sz w:val="20"/>
              </w:rPr>
            </w:pPr>
            <w:r>
              <w:rPr>
                <w:sz w:val="20"/>
              </w:rPr>
              <w:t xml:space="preserve">Matter </w:t>
            </w:r>
            <w:r w:rsidRPr="00527906">
              <w:rPr>
                <w:sz w:val="20"/>
              </w:rPr>
              <w:t>(PM2.5)</w:t>
            </w:r>
          </w:p>
        </w:tc>
        <w:tc>
          <w:tcPr>
            <w:tcW w:w="1261" w:type="dxa"/>
            <w:gridSpan w:val="2"/>
            <w:vAlign w:val="center"/>
          </w:tcPr>
          <w:p w:rsidR="005A21CA" w:rsidRPr="00527906" w:rsidRDefault="005A21CA" w:rsidP="005A21CA">
            <w:pPr>
              <w:spacing w:after="0"/>
              <w:jc w:val="center"/>
              <w:rPr>
                <w:sz w:val="20"/>
              </w:rPr>
            </w:pPr>
            <w:r>
              <w:rPr>
                <w:sz w:val="20"/>
              </w:rPr>
              <w:t>NA</w:t>
            </w:r>
          </w:p>
        </w:tc>
        <w:tc>
          <w:tcPr>
            <w:tcW w:w="1260" w:type="dxa"/>
            <w:vAlign w:val="center"/>
          </w:tcPr>
          <w:p w:rsidR="005A21CA" w:rsidRPr="00527906" w:rsidRDefault="005A21CA" w:rsidP="005A21CA">
            <w:pPr>
              <w:spacing w:after="0"/>
              <w:jc w:val="center"/>
              <w:rPr>
                <w:sz w:val="20"/>
              </w:rPr>
            </w:pPr>
            <w:r w:rsidRPr="00527906">
              <w:rPr>
                <w:sz w:val="20"/>
              </w:rPr>
              <w:t>35 ug/m3 for 24 hours</w:t>
            </w:r>
          </w:p>
        </w:tc>
        <w:tc>
          <w:tcPr>
            <w:tcW w:w="809" w:type="dxa"/>
          </w:tcPr>
          <w:p w:rsidR="005A21CA" w:rsidRPr="00527906" w:rsidRDefault="005A21CA" w:rsidP="005A21CA">
            <w:pPr>
              <w:spacing w:after="0"/>
              <w:jc w:val="center"/>
              <w:rPr>
                <w:sz w:val="20"/>
              </w:rPr>
            </w:pPr>
            <w:r w:rsidRPr="00527906">
              <w:rPr>
                <w:sz w:val="20"/>
              </w:rPr>
              <w:t>2007</w:t>
            </w:r>
          </w:p>
          <w:p w:rsidR="005A21CA" w:rsidRPr="00527906" w:rsidRDefault="005A21CA" w:rsidP="005A21CA">
            <w:pPr>
              <w:spacing w:after="0"/>
              <w:jc w:val="center"/>
              <w:rPr>
                <w:sz w:val="20"/>
              </w:rPr>
            </w:pPr>
            <w:r w:rsidRPr="00527906">
              <w:rPr>
                <w:sz w:val="20"/>
              </w:rPr>
              <w:t>2008</w:t>
            </w:r>
          </w:p>
          <w:p w:rsidR="005A21CA" w:rsidRPr="00527906" w:rsidRDefault="005A21CA" w:rsidP="005A21CA">
            <w:pPr>
              <w:spacing w:after="0"/>
              <w:jc w:val="center"/>
              <w:rPr>
                <w:sz w:val="20"/>
              </w:rPr>
            </w:pPr>
            <w:r w:rsidRPr="00527906">
              <w:rPr>
                <w:sz w:val="20"/>
              </w:rPr>
              <w:t>2009</w:t>
            </w:r>
          </w:p>
        </w:tc>
        <w:tc>
          <w:tcPr>
            <w:tcW w:w="1620" w:type="dxa"/>
          </w:tcPr>
          <w:p w:rsidR="005A21CA" w:rsidRPr="00527906" w:rsidRDefault="005A21CA" w:rsidP="005A21CA">
            <w:pPr>
              <w:spacing w:after="0"/>
              <w:jc w:val="center"/>
              <w:rPr>
                <w:sz w:val="20"/>
              </w:rPr>
            </w:pPr>
            <w:r w:rsidRPr="00527906">
              <w:rPr>
                <w:sz w:val="20"/>
              </w:rPr>
              <w:t>32.0</w:t>
            </w:r>
          </w:p>
          <w:p w:rsidR="005A21CA" w:rsidRPr="00527906" w:rsidRDefault="005A21CA" w:rsidP="005A21CA">
            <w:pPr>
              <w:spacing w:after="0"/>
              <w:jc w:val="center"/>
              <w:rPr>
                <w:sz w:val="20"/>
              </w:rPr>
            </w:pPr>
            <w:r w:rsidRPr="00527906">
              <w:rPr>
                <w:sz w:val="20"/>
              </w:rPr>
              <w:t>30.8</w:t>
            </w:r>
          </w:p>
          <w:p w:rsidR="005A21CA" w:rsidRPr="00527906" w:rsidRDefault="005A21CA" w:rsidP="005A21CA">
            <w:pPr>
              <w:spacing w:after="0"/>
              <w:jc w:val="center"/>
              <w:rPr>
                <w:sz w:val="20"/>
              </w:rPr>
            </w:pPr>
            <w:r w:rsidRPr="00527906">
              <w:rPr>
                <w:sz w:val="20"/>
              </w:rPr>
              <w:t>29.0</w:t>
            </w:r>
          </w:p>
        </w:tc>
        <w:tc>
          <w:tcPr>
            <w:tcW w:w="2521" w:type="dxa"/>
          </w:tcPr>
          <w:p w:rsidR="005A21CA" w:rsidRPr="00527906" w:rsidRDefault="005A21CA" w:rsidP="005A21CA">
            <w:pPr>
              <w:spacing w:after="0"/>
              <w:jc w:val="center"/>
              <w:rPr>
                <w:sz w:val="20"/>
              </w:rPr>
            </w:pPr>
            <w:r w:rsidRPr="00527906">
              <w:rPr>
                <w:sz w:val="20"/>
              </w:rPr>
              <w:t>NA/0</w:t>
            </w:r>
          </w:p>
          <w:p w:rsidR="005A21CA" w:rsidRPr="00527906" w:rsidRDefault="005A21CA" w:rsidP="005A21CA">
            <w:pPr>
              <w:spacing w:after="0"/>
              <w:jc w:val="center"/>
              <w:rPr>
                <w:sz w:val="20"/>
              </w:rPr>
            </w:pPr>
            <w:r w:rsidRPr="00527906">
              <w:rPr>
                <w:sz w:val="20"/>
              </w:rPr>
              <w:t>NA/0</w:t>
            </w:r>
          </w:p>
          <w:p w:rsidR="005A21CA" w:rsidRPr="00527906" w:rsidRDefault="005A21CA" w:rsidP="005A21CA">
            <w:pPr>
              <w:spacing w:after="0"/>
              <w:jc w:val="center"/>
              <w:rPr>
                <w:sz w:val="20"/>
              </w:rPr>
            </w:pPr>
            <w:r w:rsidRPr="00527906">
              <w:rPr>
                <w:sz w:val="20"/>
              </w:rPr>
              <w:t>NA/0</w:t>
            </w:r>
          </w:p>
        </w:tc>
      </w:tr>
    </w:tbl>
    <w:p w:rsidR="005A21CA" w:rsidRDefault="005A21CA" w:rsidP="005A21CA">
      <w:pPr>
        <w:pStyle w:val="Source"/>
        <w:jc w:val="left"/>
        <w:rPr>
          <w:szCs w:val="18"/>
        </w:rPr>
      </w:pPr>
      <w:r w:rsidRPr="00714D30">
        <w:t>Sources: California Air Resources Board (ADAM) Air Pollution Summaries, 2007, 2008, and 2009.</w:t>
      </w:r>
      <w:r w:rsidRPr="00714D30">
        <w:br/>
      </w:r>
      <w:r w:rsidRPr="00714D30">
        <w:rPr>
          <w:szCs w:val="18"/>
          <w:u w:val="single"/>
        </w:rPr>
        <w:t>Notes:</w:t>
      </w:r>
      <w:r w:rsidRPr="00714D30">
        <w:rPr>
          <w:szCs w:val="18"/>
          <w:u w:val="single"/>
        </w:rPr>
        <w:br/>
      </w:r>
      <w:r w:rsidRPr="00714D30">
        <w:rPr>
          <w:szCs w:val="18"/>
        </w:rPr>
        <w:t xml:space="preserve">ppm = parts per million. </w:t>
      </w:r>
      <w:r w:rsidRPr="00714D30">
        <w:rPr>
          <w:szCs w:val="18"/>
        </w:rPr>
        <w:br/>
        <w:t>Ug/m3 = microns per cubic meter.</w:t>
      </w:r>
      <w:r w:rsidRPr="00714D30">
        <w:rPr>
          <w:szCs w:val="18"/>
        </w:rPr>
        <w:br/>
        <w:t xml:space="preserve">NA= not applicable </w:t>
      </w:r>
      <w:r w:rsidRPr="00714D30">
        <w:rPr>
          <w:szCs w:val="18"/>
        </w:rPr>
        <w:br/>
        <w:t>* = There was insufficient (or no) data available to determine the value</w:t>
      </w:r>
    </w:p>
    <w:tbl>
      <w:tblPr>
        <w:tblW w:w="9001" w:type="dxa"/>
        <w:tblInd w:w="107" w:type="dxa"/>
        <w:tblBorders>
          <w:top w:val="nil"/>
          <w:left w:val="nil"/>
          <w:bottom w:val="nil"/>
          <w:right w:val="nil"/>
        </w:tblBorders>
        <w:tblLayout w:type="fixed"/>
        <w:tblLook w:val="0000" w:firstRow="0" w:lastRow="0" w:firstColumn="0" w:lastColumn="0" w:noHBand="0" w:noVBand="0"/>
      </w:tblPr>
      <w:tblGrid>
        <w:gridCol w:w="1530"/>
        <w:gridCol w:w="1170"/>
        <w:gridCol w:w="91"/>
        <w:gridCol w:w="1260"/>
        <w:gridCol w:w="809"/>
        <w:gridCol w:w="1620"/>
        <w:gridCol w:w="2521"/>
      </w:tblGrid>
      <w:tr w:rsidR="005A21CA" w:rsidRPr="00423BAA">
        <w:trPr>
          <w:trHeight w:val="288"/>
          <w:tblHeader/>
        </w:trPr>
        <w:tc>
          <w:tcPr>
            <w:tcW w:w="9001" w:type="dxa"/>
            <w:gridSpan w:val="7"/>
            <w:tcBorders>
              <w:top w:val="single" w:sz="2" w:space="0" w:color="000000"/>
              <w:left w:val="single" w:sz="4" w:space="0" w:color="000000"/>
              <w:bottom w:val="single" w:sz="2" w:space="0" w:color="000000"/>
              <w:right w:val="single" w:sz="2" w:space="0" w:color="000000"/>
            </w:tcBorders>
            <w:shd w:val="clear" w:color="auto" w:fill="000000"/>
            <w:vAlign w:val="center"/>
          </w:tcPr>
          <w:p w:rsidR="005A21CA" w:rsidRPr="00DB6AD3" w:rsidRDefault="005A21CA" w:rsidP="005A21CA">
            <w:pPr>
              <w:pStyle w:val="Heading7"/>
              <w:rPr>
                <w:lang w:bidi="en-US"/>
              </w:rPr>
            </w:pPr>
            <w:r w:rsidRPr="00DB6AD3">
              <w:rPr>
                <w:color w:val="FFFFFF"/>
              </w:rPr>
              <w:lastRenderedPageBreak/>
              <w:t>Table 3.2-4: Ambient Air Quality Monitoring Data (Healdsburg Airport)</w:t>
            </w:r>
          </w:p>
        </w:tc>
      </w:tr>
      <w:tr w:rsidR="005A21CA" w:rsidRPr="0042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530" w:type="dxa"/>
            <w:vMerge w:val="restart"/>
            <w:shd w:val="clear" w:color="auto" w:fill="D9D9D9"/>
            <w:vAlign w:val="center"/>
          </w:tcPr>
          <w:p w:rsidR="005A21CA" w:rsidRPr="00DB6AD3" w:rsidRDefault="005A21CA" w:rsidP="005A21CA">
            <w:pPr>
              <w:pStyle w:val="TableHeadingRow"/>
              <w:rPr>
                <w:rFonts w:ascii="Calibri" w:hAnsi="Calibri"/>
              </w:rPr>
            </w:pPr>
            <w:r w:rsidRPr="00DB6AD3">
              <w:rPr>
                <w:rFonts w:ascii="Calibri" w:hAnsi="Calibri"/>
              </w:rPr>
              <w:t>Pollutant</w:t>
            </w:r>
          </w:p>
        </w:tc>
        <w:tc>
          <w:tcPr>
            <w:tcW w:w="1170" w:type="dxa"/>
            <w:shd w:val="clear" w:color="auto" w:fill="D9D9D9"/>
            <w:vAlign w:val="center"/>
          </w:tcPr>
          <w:p w:rsidR="005A21CA" w:rsidRPr="00DB6AD3" w:rsidRDefault="005A21CA" w:rsidP="005A21CA">
            <w:pPr>
              <w:pStyle w:val="TableHeadingRow"/>
              <w:rPr>
                <w:rFonts w:ascii="Calibri" w:hAnsi="Calibri"/>
              </w:rPr>
            </w:pPr>
            <w:r w:rsidRPr="00DB6AD3">
              <w:rPr>
                <w:rFonts w:ascii="Calibri" w:hAnsi="Calibri"/>
              </w:rPr>
              <w:t>Cal.</w:t>
            </w:r>
          </w:p>
        </w:tc>
        <w:tc>
          <w:tcPr>
            <w:tcW w:w="1351" w:type="dxa"/>
            <w:gridSpan w:val="2"/>
            <w:shd w:val="clear" w:color="auto" w:fill="D9D9D9"/>
            <w:vAlign w:val="center"/>
          </w:tcPr>
          <w:p w:rsidR="005A21CA" w:rsidRPr="00DB6AD3" w:rsidRDefault="005A21CA" w:rsidP="005A21CA">
            <w:pPr>
              <w:pStyle w:val="TableHeadingRow"/>
              <w:rPr>
                <w:rFonts w:ascii="Calibri" w:hAnsi="Calibri"/>
              </w:rPr>
            </w:pPr>
            <w:r w:rsidRPr="00DB6AD3">
              <w:rPr>
                <w:rFonts w:ascii="Calibri" w:hAnsi="Calibri"/>
              </w:rPr>
              <w:t>Fed.</w:t>
            </w:r>
          </w:p>
        </w:tc>
        <w:tc>
          <w:tcPr>
            <w:tcW w:w="809" w:type="dxa"/>
            <w:vMerge w:val="restart"/>
            <w:shd w:val="clear" w:color="auto" w:fill="D9D9D9"/>
            <w:vAlign w:val="center"/>
          </w:tcPr>
          <w:p w:rsidR="005A21CA" w:rsidRPr="00DB6AD3" w:rsidRDefault="005A21CA" w:rsidP="005A21CA">
            <w:pPr>
              <w:pStyle w:val="TableHeadingRow"/>
              <w:rPr>
                <w:rFonts w:ascii="Calibri" w:hAnsi="Calibri"/>
              </w:rPr>
            </w:pPr>
            <w:r w:rsidRPr="00DB6AD3">
              <w:rPr>
                <w:rFonts w:ascii="Calibri" w:hAnsi="Calibri"/>
              </w:rPr>
              <w:t>Year</w:t>
            </w:r>
          </w:p>
        </w:tc>
        <w:tc>
          <w:tcPr>
            <w:tcW w:w="1620" w:type="dxa"/>
            <w:vMerge w:val="restart"/>
            <w:shd w:val="clear" w:color="auto" w:fill="D9D9D9"/>
            <w:vAlign w:val="center"/>
          </w:tcPr>
          <w:p w:rsidR="005A21CA" w:rsidRPr="00DB6AD3" w:rsidRDefault="005A21CA" w:rsidP="005A21CA">
            <w:pPr>
              <w:pStyle w:val="TableHeadingRow"/>
              <w:rPr>
                <w:rFonts w:ascii="Calibri" w:hAnsi="Calibri"/>
              </w:rPr>
            </w:pPr>
            <w:r w:rsidRPr="00DB6AD3">
              <w:rPr>
                <w:rFonts w:ascii="Calibri" w:hAnsi="Calibri"/>
              </w:rPr>
              <w:t>Max Concentration</w:t>
            </w:r>
          </w:p>
        </w:tc>
        <w:tc>
          <w:tcPr>
            <w:tcW w:w="2521" w:type="dxa"/>
            <w:vMerge w:val="restart"/>
            <w:shd w:val="clear" w:color="auto" w:fill="D9D9D9"/>
            <w:vAlign w:val="center"/>
          </w:tcPr>
          <w:p w:rsidR="005A21CA" w:rsidRPr="00DB6AD3" w:rsidRDefault="005A21CA" w:rsidP="005A21CA">
            <w:pPr>
              <w:pStyle w:val="TableHeadingRow"/>
              <w:rPr>
                <w:rFonts w:ascii="Calibri" w:hAnsi="Calibri"/>
              </w:rPr>
            </w:pPr>
            <w:r w:rsidRPr="00DB6AD3">
              <w:rPr>
                <w:rFonts w:ascii="Calibri" w:hAnsi="Calibri"/>
              </w:rPr>
              <w:t>Days (samples) State/Fed Standard Exceeded</w:t>
            </w:r>
          </w:p>
        </w:tc>
      </w:tr>
      <w:tr w:rsidR="005A21CA" w:rsidRPr="0042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530" w:type="dxa"/>
            <w:vMerge/>
            <w:shd w:val="clear" w:color="auto" w:fill="D9D9D9"/>
          </w:tcPr>
          <w:p w:rsidR="005A21CA" w:rsidRPr="00FF57D2" w:rsidRDefault="005A21CA" w:rsidP="005A21CA">
            <w:pPr>
              <w:spacing w:after="0"/>
              <w:jc w:val="left"/>
              <w:rPr>
                <w:sz w:val="20"/>
              </w:rPr>
            </w:pPr>
          </w:p>
        </w:tc>
        <w:tc>
          <w:tcPr>
            <w:tcW w:w="2521" w:type="dxa"/>
            <w:gridSpan w:val="3"/>
            <w:shd w:val="clear" w:color="auto" w:fill="D9D9D9"/>
          </w:tcPr>
          <w:p w:rsidR="005A21CA" w:rsidRPr="00DB6AD3" w:rsidRDefault="005A21CA" w:rsidP="005A21CA">
            <w:pPr>
              <w:pStyle w:val="TableHeadingRow"/>
              <w:rPr>
                <w:rFonts w:ascii="Calibri" w:hAnsi="Calibri"/>
              </w:rPr>
            </w:pPr>
            <w:r w:rsidRPr="00DB6AD3">
              <w:rPr>
                <w:rFonts w:ascii="Calibri" w:hAnsi="Calibri"/>
              </w:rPr>
              <w:t>Primary Standard</w:t>
            </w:r>
          </w:p>
        </w:tc>
        <w:tc>
          <w:tcPr>
            <w:tcW w:w="809" w:type="dxa"/>
            <w:vMerge/>
            <w:shd w:val="clear" w:color="auto" w:fill="D9D9D9"/>
          </w:tcPr>
          <w:p w:rsidR="005A21CA" w:rsidRPr="00FF57D2" w:rsidRDefault="005A21CA" w:rsidP="005A21CA">
            <w:pPr>
              <w:spacing w:after="0"/>
              <w:jc w:val="left"/>
              <w:outlineLvl w:val="0"/>
              <w:rPr>
                <w:sz w:val="20"/>
              </w:rPr>
            </w:pPr>
          </w:p>
        </w:tc>
        <w:tc>
          <w:tcPr>
            <w:tcW w:w="1620" w:type="dxa"/>
            <w:vMerge/>
            <w:shd w:val="clear" w:color="auto" w:fill="D9D9D9"/>
          </w:tcPr>
          <w:p w:rsidR="005A21CA" w:rsidRPr="00FF57D2" w:rsidRDefault="005A21CA" w:rsidP="005A21CA">
            <w:pPr>
              <w:spacing w:after="0"/>
              <w:jc w:val="left"/>
              <w:outlineLvl w:val="0"/>
              <w:rPr>
                <w:sz w:val="20"/>
              </w:rPr>
            </w:pPr>
          </w:p>
        </w:tc>
        <w:tc>
          <w:tcPr>
            <w:tcW w:w="2521" w:type="dxa"/>
            <w:vMerge/>
            <w:shd w:val="clear" w:color="auto" w:fill="D9D9D9"/>
          </w:tcPr>
          <w:p w:rsidR="005A21CA" w:rsidRPr="00FF57D2" w:rsidRDefault="005A21CA" w:rsidP="005A21CA">
            <w:pPr>
              <w:spacing w:after="0"/>
              <w:jc w:val="left"/>
              <w:outlineLvl w:val="0"/>
              <w:rPr>
                <w:sz w:val="20"/>
              </w:rPr>
            </w:pPr>
          </w:p>
        </w:tc>
      </w:tr>
      <w:tr w:rsidR="005A21CA" w:rsidRPr="0042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530" w:type="dxa"/>
            <w:shd w:val="clear" w:color="auto" w:fill="auto"/>
            <w:vAlign w:val="center"/>
          </w:tcPr>
          <w:p w:rsidR="005A21CA" w:rsidRPr="00714D30" w:rsidRDefault="005A21CA" w:rsidP="005A21CA">
            <w:pPr>
              <w:spacing w:after="0"/>
              <w:jc w:val="center"/>
              <w:rPr>
                <w:sz w:val="20"/>
              </w:rPr>
            </w:pPr>
            <w:r w:rsidRPr="00714D30">
              <w:rPr>
                <w:sz w:val="20"/>
              </w:rPr>
              <w:t>Ozone (O3)</w:t>
            </w:r>
          </w:p>
          <w:p w:rsidR="005A21CA" w:rsidRPr="00714D30" w:rsidRDefault="005A21CA" w:rsidP="005A21CA">
            <w:pPr>
              <w:spacing w:after="0"/>
              <w:jc w:val="center"/>
              <w:rPr>
                <w:sz w:val="20"/>
              </w:rPr>
            </w:pPr>
            <w:r w:rsidRPr="00714D30">
              <w:rPr>
                <w:sz w:val="20"/>
              </w:rPr>
              <w:t>(1-hour)</w:t>
            </w:r>
          </w:p>
        </w:tc>
        <w:tc>
          <w:tcPr>
            <w:tcW w:w="1261" w:type="dxa"/>
            <w:gridSpan w:val="2"/>
            <w:vAlign w:val="center"/>
          </w:tcPr>
          <w:p w:rsidR="005A21CA" w:rsidRPr="00714D30" w:rsidRDefault="005A21CA" w:rsidP="005A21CA">
            <w:pPr>
              <w:spacing w:after="0"/>
              <w:jc w:val="center"/>
              <w:rPr>
                <w:sz w:val="20"/>
              </w:rPr>
            </w:pPr>
            <w:r w:rsidRPr="00714D30">
              <w:rPr>
                <w:sz w:val="20"/>
              </w:rPr>
              <w:t>0.09 ppm for 1 hour</w:t>
            </w:r>
          </w:p>
        </w:tc>
        <w:tc>
          <w:tcPr>
            <w:tcW w:w="1260" w:type="dxa"/>
            <w:vAlign w:val="center"/>
          </w:tcPr>
          <w:p w:rsidR="005A21CA" w:rsidRPr="00714D30" w:rsidRDefault="005A21CA" w:rsidP="005A21CA">
            <w:pPr>
              <w:spacing w:after="0"/>
              <w:jc w:val="center"/>
              <w:rPr>
                <w:sz w:val="20"/>
              </w:rPr>
            </w:pPr>
            <w:r w:rsidRPr="00714D30">
              <w:rPr>
                <w:sz w:val="20"/>
              </w:rPr>
              <w:t>NA</w:t>
            </w:r>
          </w:p>
        </w:tc>
        <w:tc>
          <w:tcPr>
            <w:tcW w:w="809" w:type="dxa"/>
          </w:tcPr>
          <w:p w:rsidR="005A21CA" w:rsidRPr="00714D30" w:rsidRDefault="005A21CA" w:rsidP="005A21CA">
            <w:pPr>
              <w:spacing w:after="0"/>
              <w:jc w:val="center"/>
              <w:rPr>
                <w:sz w:val="20"/>
              </w:rPr>
            </w:pPr>
            <w:r w:rsidRPr="00714D30">
              <w:rPr>
                <w:sz w:val="20"/>
              </w:rPr>
              <w:t>2007</w:t>
            </w:r>
          </w:p>
          <w:p w:rsidR="005A21CA" w:rsidRPr="00714D30" w:rsidRDefault="005A21CA" w:rsidP="005A21CA">
            <w:pPr>
              <w:spacing w:after="0"/>
              <w:jc w:val="center"/>
              <w:rPr>
                <w:sz w:val="20"/>
              </w:rPr>
            </w:pPr>
            <w:r w:rsidRPr="00714D30">
              <w:rPr>
                <w:sz w:val="20"/>
              </w:rPr>
              <w:t>2008</w:t>
            </w:r>
          </w:p>
          <w:p w:rsidR="005A21CA" w:rsidRPr="00714D30" w:rsidRDefault="005A21CA" w:rsidP="005A21CA">
            <w:pPr>
              <w:spacing w:after="0"/>
              <w:jc w:val="center"/>
              <w:rPr>
                <w:sz w:val="20"/>
              </w:rPr>
            </w:pPr>
            <w:r w:rsidRPr="00714D30">
              <w:rPr>
                <w:sz w:val="20"/>
              </w:rPr>
              <w:t>2009</w:t>
            </w:r>
          </w:p>
        </w:tc>
        <w:tc>
          <w:tcPr>
            <w:tcW w:w="1620" w:type="dxa"/>
          </w:tcPr>
          <w:p w:rsidR="005A21CA" w:rsidRPr="00714D30" w:rsidRDefault="005A21CA" w:rsidP="005A21CA">
            <w:pPr>
              <w:spacing w:after="0"/>
              <w:jc w:val="center"/>
              <w:rPr>
                <w:sz w:val="20"/>
              </w:rPr>
            </w:pPr>
            <w:r w:rsidRPr="00714D30">
              <w:rPr>
                <w:sz w:val="20"/>
              </w:rPr>
              <w:t>0.070</w:t>
            </w:r>
          </w:p>
          <w:p w:rsidR="005A21CA" w:rsidRPr="00714D30" w:rsidRDefault="005A21CA" w:rsidP="005A21CA">
            <w:pPr>
              <w:spacing w:after="0"/>
              <w:jc w:val="center"/>
              <w:rPr>
                <w:sz w:val="20"/>
              </w:rPr>
            </w:pPr>
            <w:r w:rsidRPr="00714D30">
              <w:rPr>
                <w:sz w:val="20"/>
              </w:rPr>
              <w:t>0.080</w:t>
            </w:r>
          </w:p>
          <w:p w:rsidR="005A21CA" w:rsidRPr="00714D30" w:rsidRDefault="005A21CA" w:rsidP="005A21CA">
            <w:pPr>
              <w:spacing w:after="0"/>
              <w:jc w:val="center"/>
              <w:rPr>
                <w:sz w:val="20"/>
              </w:rPr>
            </w:pPr>
            <w:r w:rsidRPr="00714D30">
              <w:rPr>
                <w:sz w:val="20"/>
              </w:rPr>
              <w:t>0.070</w:t>
            </w:r>
          </w:p>
        </w:tc>
        <w:tc>
          <w:tcPr>
            <w:tcW w:w="2521" w:type="dxa"/>
          </w:tcPr>
          <w:p w:rsidR="005A21CA" w:rsidRPr="00714D30" w:rsidRDefault="005A21CA" w:rsidP="005A21CA">
            <w:pPr>
              <w:spacing w:after="0"/>
              <w:jc w:val="center"/>
              <w:rPr>
                <w:sz w:val="20"/>
              </w:rPr>
            </w:pPr>
            <w:r w:rsidRPr="00714D30">
              <w:rPr>
                <w:sz w:val="20"/>
              </w:rPr>
              <w:t>0/NA</w:t>
            </w:r>
          </w:p>
          <w:p w:rsidR="005A21CA" w:rsidRPr="00714D30" w:rsidRDefault="005A21CA" w:rsidP="005A21CA">
            <w:pPr>
              <w:spacing w:after="0"/>
              <w:jc w:val="center"/>
              <w:rPr>
                <w:sz w:val="20"/>
              </w:rPr>
            </w:pPr>
            <w:r w:rsidRPr="00714D30">
              <w:rPr>
                <w:sz w:val="20"/>
              </w:rPr>
              <w:t>0/NA</w:t>
            </w:r>
          </w:p>
          <w:p w:rsidR="005A21CA" w:rsidRPr="00714D30" w:rsidRDefault="005A21CA" w:rsidP="005A21CA">
            <w:pPr>
              <w:spacing w:after="0"/>
              <w:jc w:val="center"/>
              <w:rPr>
                <w:sz w:val="20"/>
              </w:rPr>
            </w:pPr>
            <w:r w:rsidRPr="00714D30">
              <w:rPr>
                <w:sz w:val="20"/>
              </w:rPr>
              <w:t>0/NA</w:t>
            </w:r>
          </w:p>
        </w:tc>
      </w:tr>
      <w:tr w:rsidR="005A21CA" w:rsidRPr="00423B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8"/>
        </w:trPr>
        <w:tc>
          <w:tcPr>
            <w:tcW w:w="1530" w:type="dxa"/>
            <w:shd w:val="clear" w:color="auto" w:fill="auto"/>
            <w:vAlign w:val="center"/>
          </w:tcPr>
          <w:p w:rsidR="005A21CA" w:rsidRPr="00714D30" w:rsidRDefault="005A21CA" w:rsidP="005A21CA">
            <w:pPr>
              <w:spacing w:after="0"/>
              <w:jc w:val="center"/>
              <w:rPr>
                <w:sz w:val="20"/>
              </w:rPr>
            </w:pPr>
            <w:r w:rsidRPr="00714D30">
              <w:rPr>
                <w:sz w:val="20"/>
              </w:rPr>
              <w:t>Ozone (O3)</w:t>
            </w:r>
          </w:p>
          <w:p w:rsidR="005A21CA" w:rsidRPr="00714D30" w:rsidRDefault="005A21CA" w:rsidP="005A21CA">
            <w:pPr>
              <w:spacing w:after="0"/>
              <w:jc w:val="center"/>
              <w:rPr>
                <w:sz w:val="20"/>
              </w:rPr>
            </w:pPr>
            <w:r w:rsidRPr="00714D30">
              <w:rPr>
                <w:sz w:val="20"/>
              </w:rPr>
              <w:t>(8-hour)</w:t>
            </w:r>
          </w:p>
        </w:tc>
        <w:tc>
          <w:tcPr>
            <w:tcW w:w="1261" w:type="dxa"/>
            <w:gridSpan w:val="2"/>
            <w:vAlign w:val="center"/>
          </w:tcPr>
          <w:p w:rsidR="005A21CA" w:rsidRPr="00714D30" w:rsidRDefault="005A21CA" w:rsidP="005A21CA">
            <w:pPr>
              <w:spacing w:after="0"/>
              <w:jc w:val="center"/>
              <w:rPr>
                <w:sz w:val="20"/>
              </w:rPr>
            </w:pPr>
            <w:r w:rsidRPr="00714D30">
              <w:rPr>
                <w:sz w:val="20"/>
              </w:rPr>
              <w:t>0.07 ppm for 8 hour</w:t>
            </w:r>
          </w:p>
        </w:tc>
        <w:tc>
          <w:tcPr>
            <w:tcW w:w="1260" w:type="dxa"/>
            <w:vAlign w:val="center"/>
          </w:tcPr>
          <w:p w:rsidR="005A21CA" w:rsidRPr="00714D30" w:rsidRDefault="005A21CA" w:rsidP="005A21CA">
            <w:pPr>
              <w:spacing w:after="0"/>
              <w:jc w:val="center"/>
              <w:rPr>
                <w:sz w:val="20"/>
              </w:rPr>
            </w:pPr>
            <w:r w:rsidRPr="00714D30">
              <w:rPr>
                <w:sz w:val="20"/>
              </w:rPr>
              <w:t>0.075 ppm for 8 hour</w:t>
            </w:r>
          </w:p>
        </w:tc>
        <w:tc>
          <w:tcPr>
            <w:tcW w:w="809" w:type="dxa"/>
          </w:tcPr>
          <w:p w:rsidR="005A21CA" w:rsidRPr="00714D30" w:rsidRDefault="005A21CA" w:rsidP="005A21CA">
            <w:pPr>
              <w:spacing w:after="0"/>
              <w:jc w:val="center"/>
              <w:rPr>
                <w:sz w:val="20"/>
              </w:rPr>
            </w:pPr>
            <w:r w:rsidRPr="00714D30">
              <w:rPr>
                <w:sz w:val="20"/>
              </w:rPr>
              <w:t>2007</w:t>
            </w:r>
          </w:p>
          <w:p w:rsidR="005A21CA" w:rsidRPr="00714D30" w:rsidRDefault="005A21CA" w:rsidP="005A21CA">
            <w:pPr>
              <w:spacing w:after="0"/>
              <w:jc w:val="center"/>
              <w:rPr>
                <w:sz w:val="20"/>
              </w:rPr>
            </w:pPr>
            <w:r w:rsidRPr="00714D30">
              <w:rPr>
                <w:sz w:val="20"/>
              </w:rPr>
              <w:t>2008</w:t>
            </w:r>
          </w:p>
          <w:p w:rsidR="005A21CA" w:rsidRPr="00714D30" w:rsidRDefault="005A21CA" w:rsidP="005A21CA">
            <w:pPr>
              <w:spacing w:after="0"/>
              <w:jc w:val="center"/>
              <w:rPr>
                <w:sz w:val="20"/>
              </w:rPr>
            </w:pPr>
            <w:r w:rsidRPr="00714D30">
              <w:rPr>
                <w:sz w:val="20"/>
              </w:rPr>
              <w:t>2009</w:t>
            </w:r>
          </w:p>
        </w:tc>
        <w:tc>
          <w:tcPr>
            <w:tcW w:w="1620" w:type="dxa"/>
          </w:tcPr>
          <w:p w:rsidR="005A21CA" w:rsidRPr="00714D30" w:rsidRDefault="005A21CA" w:rsidP="005A21CA">
            <w:pPr>
              <w:spacing w:after="0"/>
              <w:jc w:val="center"/>
              <w:rPr>
                <w:sz w:val="20"/>
              </w:rPr>
            </w:pPr>
            <w:r w:rsidRPr="00714D30">
              <w:rPr>
                <w:sz w:val="20"/>
              </w:rPr>
              <w:t>0.067</w:t>
            </w:r>
          </w:p>
          <w:p w:rsidR="005A21CA" w:rsidRPr="00714D30" w:rsidRDefault="005A21CA" w:rsidP="005A21CA">
            <w:pPr>
              <w:spacing w:after="0"/>
              <w:jc w:val="center"/>
              <w:rPr>
                <w:sz w:val="20"/>
              </w:rPr>
            </w:pPr>
            <w:r w:rsidRPr="00714D30">
              <w:rPr>
                <w:sz w:val="20"/>
              </w:rPr>
              <w:t>0.065</w:t>
            </w:r>
          </w:p>
          <w:p w:rsidR="005A21CA" w:rsidRPr="00714D30" w:rsidRDefault="005A21CA" w:rsidP="005A21CA">
            <w:pPr>
              <w:spacing w:after="0"/>
              <w:jc w:val="center"/>
              <w:rPr>
                <w:sz w:val="20"/>
              </w:rPr>
            </w:pPr>
            <w:r w:rsidRPr="00714D30">
              <w:rPr>
                <w:sz w:val="20"/>
              </w:rPr>
              <w:t>0.064</w:t>
            </w:r>
          </w:p>
        </w:tc>
        <w:tc>
          <w:tcPr>
            <w:tcW w:w="2521" w:type="dxa"/>
          </w:tcPr>
          <w:p w:rsidR="005A21CA" w:rsidRPr="00714D30" w:rsidRDefault="005A21CA" w:rsidP="005A21CA">
            <w:pPr>
              <w:spacing w:after="0"/>
              <w:jc w:val="center"/>
              <w:rPr>
                <w:sz w:val="20"/>
              </w:rPr>
            </w:pPr>
            <w:r w:rsidRPr="00714D30">
              <w:rPr>
                <w:sz w:val="20"/>
              </w:rPr>
              <w:t>0/0</w:t>
            </w:r>
          </w:p>
          <w:p w:rsidR="005A21CA" w:rsidRPr="00714D30" w:rsidRDefault="005A21CA" w:rsidP="005A21CA">
            <w:pPr>
              <w:spacing w:after="0"/>
              <w:jc w:val="center"/>
              <w:rPr>
                <w:sz w:val="20"/>
              </w:rPr>
            </w:pPr>
            <w:r w:rsidRPr="00714D30">
              <w:rPr>
                <w:sz w:val="20"/>
              </w:rPr>
              <w:t>0/0</w:t>
            </w:r>
          </w:p>
          <w:p w:rsidR="005A21CA" w:rsidRPr="00714D30" w:rsidRDefault="005A21CA" w:rsidP="005A21CA">
            <w:pPr>
              <w:spacing w:after="0"/>
              <w:jc w:val="center"/>
              <w:rPr>
                <w:sz w:val="20"/>
              </w:rPr>
            </w:pPr>
            <w:r w:rsidRPr="00714D30">
              <w:rPr>
                <w:sz w:val="20"/>
              </w:rPr>
              <w:t>0/0</w:t>
            </w:r>
          </w:p>
        </w:tc>
      </w:tr>
    </w:tbl>
    <w:p w:rsidR="005A21CA" w:rsidRPr="00714D30" w:rsidRDefault="005A21CA" w:rsidP="005A21CA">
      <w:pPr>
        <w:pStyle w:val="Source"/>
        <w:jc w:val="left"/>
        <w:rPr>
          <w:szCs w:val="18"/>
        </w:rPr>
      </w:pPr>
      <w:r w:rsidRPr="00714D30">
        <w:t>Sources: California Air Resources Board (ADAM) Air Pollution Summaries, 2007, 2008, and 2009.</w:t>
      </w:r>
      <w:r w:rsidRPr="00714D30">
        <w:br/>
      </w:r>
      <w:r w:rsidRPr="00714D30">
        <w:rPr>
          <w:szCs w:val="18"/>
          <w:u w:val="single"/>
        </w:rPr>
        <w:t>Notes:</w:t>
      </w:r>
      <w:r w:rsidRPr="00714D30">
        <w:rPr>
          <w:szCs w:val="18"/>
          <w:u w:val="single"/>
        </w:rPr>
        <w:br/>
      </w:r>
      <w:r w:rsidRPr="00714D30">
        <w:rPr>
          <w:szCs w:val="18"/>
        </w:rPr>
        <w:t xml:space="preserve">ppm = parts per million. </w:t>
      </w:r>
      <w:r w:rsidRPr="00714D30">
        <w:rPr>
          <w:szCs w:val="18"/>
        </w:rPr>
        <w:br/>
        <w:t>Ug/m3 = microns per c</w:t>
      </w:r>
      <w:r>
        <w:rPr>
          <w:szCs w:val="18"/>
        </w:rPr>
        <w:t>ubic meter.</w:t>
      </w:r>
      <w:r>
        <w:rPr>
          <w:szCs w:val="18"/>
        </w:rPr>
        <w:br/>
        <w:t xml:space="preserve">NA= not applicable </w:t>
      </w:r>
    </w:p>
    <w:p w:rsidR="005A21CA" w:rsidRDefault="005A21CA" w:rsidP="005A21CA">
      <w:pPr>
        <w:pStyle w:val="Heading2"/>
      </w:pPr>
      <w:r>
        <w:t>Buildout Emissions (Summer and Winter)</w:t>
      </w:r>
    </w:p>
    <w:p w:rsidR="005A21CA" w:rsidRPr="00D336D8" w:rsidRDefault="005A21CA" w:rsidP="005A21CA">
      <w:r w:rsidRPr="00D336D8">
        <w:t>The California Emission Estimator Model (CalEEMod)</w:t>
      </w:r>
      <w:r w:rsidRPr="00D336D8">
        <w:rPr>
          <w:vertAlign w:val="superscript"/>
        </w:rPr>
        <w:t>TM</w:t>
      </w:r>
      <w:r w:rsidRPr="00D336D8">
        <w:t xml:space="preserve"> (v.2013.2</w:t>
      </w:r>
      <w:r>
        <w:t>.2</w:t>
      </w:r>
      <w:r w:rsidRPr="00D336D8">
        <w:t xml:space="preserve">) was used to estimate total operational emissions from General Plan build out. Table </w:t>
      </w:r>
      <w:r>
        <w:t>3.2</w:t>
      </w:r>
      <w:r w:rsidRPr="00D336D8">
        <w:t xml:space="preserve">-5 shows the emissions, which include mobile source, area source, and energy emissions of criteria pollutants that would result from operations of development under the General Plan build out. The full calculations, inputs, and assumptions are provided </w:t>
      </w:r>
      <w:r w:rsidRPr="00915371">
        <w:t xml:space="preserve">in Appendix B. </w:t>
      </w:r>
      <w:r>
        <w:t xml:space="preserve">The total emissions are presented below for informational purposes. </w:t>
      </w:r>
    </w:p>
    <w:tbl>
      <w:tblPr>
        <w:tblW w:w="9001" w:type="dxa"/>
        <w:tblInd w:w="107" w:type="dxa"/>
        <w:tblBorders>
          <w:top w:val="nil"/>
          <w:left w:val="nil"/>
          <w:bottom w:val="nil"/>
          <w:right w:val="nil"/>
        </w:tblBorders>
        <w:tblLayout w:type="fixed"/>
        <w:tblLook w:val="0000" w:firstRow="0" w:lastRow="0" w:firstColumn="0" w:lastColumn="0" w:noHBand="0" w:noVBand="0"/>
      </w:tblPr>
      <w:tblGrid>
        <w:gridCol w:w="869"/>
        <w:gridCol w:w="1064"/>
        <w:gridCol w:w="1050"/>
        <w:gridCol w:w="1064"/>
        <w:gridCol w:w="870"/>
        <w:gridCol w:w="1064"/>
        <w:gridCol w:w="1050"/>
        <w:gridCol w:w="1064"/>
        <w:gridCol w:w="906"/>
      </w:tblGrid>
      <w:tr w:rsidR="005A21CA" w:rsidRPr="00FF57D2">
        <w:trPr>
          <w:trHeight w:val="288"/>
          <w:tblHeader/>
        </w:trPr>
        <w:tc>
          <w:tcPr>
            <w:tcW w:w="9001" w:type="dxa"/>
            <w:gridSpan w:val="9"/>
            <w:tcBorders>
              <w:top w:val="single" w:sz="2" w:space="0" w:color="000000"/>
              <w:left w:val="single" w:sz="4" w:space="0" w:color="000000"/>
              <w:bottom w:val="single" w:sz="2" w:space="0" w:color="000000"/>
              <w:right w:val="single" w:sz="2" w:space="0" w:color="000000"/>
            </w:tcBorders>
            <w:shd w:val="clear" w:color="auto" w:fill="000000"/>
            <w:vAlign w:val="center"/>
          </w:tcPr>
          <w:p w:rsidR="005A21CA" w:rsidRPr="00DB6AD3" w:rsidRDefault="005A21CA" w:rsidP="005A21CA">
            <w:pPr>
              <w:pStyle w:val="Heading7"/>
              <w:rPr>
                <w:lang w:bidi="en-US"/>
              </w:rPr>
            </w:pPr>
            <w:r w:rsidRPr="00DB6AD3">
              <w:rPr>
                <w:color w:val="FFFFFF"/>
              </w:rPr>
              <w:t>Table 3.2-5:  Operational Emissions</w:t>
            </w:r>
          </w:p>
        </w:tc>
      </w:tr>
      <w:tr w:rsidR="005A21CA" w:rsidRPr="00D336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432"/>
        </w:trPr>
        <w:tc>
          <w:tcPr>
            <w:tcW w:w="869" w:type="dxa"/>
            <w:tcBorders>
              <w:top w:val="single" w:sz="4" w:space="0" w:color="auto"/>
              <w:left w:val="single" w:sz="4" w:space="0" w:color="auto"/>
              <w:bottom w:val="single" w:sz="4" w:space="0" w:color="auto"/>
              <w:right w:val="single" w:sz="4" w:space="0" w:color="auto"/>
            </w:tcBorders>
            <w:shd w:val="clear" w:color="000000" w:fill="C0C0C0"/>
            <w:vAlign w:val="center"/>
          </w:tcPr>
          <w:p w:rsidR="005A21CA" w:rsidRPr="00D336D8" w:rsidRDefault="005A21CA" w:rsidP="005A21CA">
            <w:pPr>
              <w:spacing w:after="0" w:line="240" w:lineRule="auto"/>
              <w:jc w:val="center"/>
              <w:rPr>
                <w:rFonts w:ascii="Cambria" w:hAnsi="Cambria" w:cs="Arial"/>
                <w:b/>
                <w:bCs/>
                <w:i/>
                <w:sz w:val="16"/>
                <w:szCs w:val="16"/>
              </w:rPr>
            </w:pPr>
          </w:p>
        </w:tc>
        <w:tc>
          <w:tcPr>
            <w:tcW w:w="2114"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rsidR="005A21CA" w:rsidRPr="00D336D8" w:rsidRDefault="005A21CA" w:rsidP="005A21CA">
            <w:pPr>
              <w:spacing w:after="0" w:line="240" w:lineRule="auto"/>
              <w:jc w:val="center"/>
              <w:rPr>
                <w:rFonts w:ascii="Cambria" w:hAnsi="Cambria" w:cs="Arial"/>
                <w:b/>
                <w:bCs/>
                <w:i/>
                <w:sz w:val="16"/>
                <w:szCs w:val="16"/>
              </w:rPr>
            </w:pPr>
            <w:r w:rsidRPr="00D336D8">
              <w:rPr>
                <w:rFonts w:ascii="Cambria" w:hAnsi="Cambria" w:cs="Arial"/>
                <w:b/>
                <w:bCs/>
                <w:i/>
                <w:sz w:val="16"/>
                <w:szCs w:val="16"/>
              </w:rPr>
              <w:t>ROG</w:t>
            </w:r>
          </w:p>
        </w:tc>
        <w:tc>
          <w:tcPr>
            <w:tcW w:w="1934"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rsidR="005A21CA" w:rsidRPr="00D336D8" w:rsidRDefault="005A21CA" w:rsidP="005A21CA">
            <w:pPr>
              <w:spacing w:after="0" w:line="240" w:lineRule="auto"/>
              <w:jc w:val="center"/>
              <w:rPr>
                <w:rFonts w:ascii="Cambria" w:hAnsi="Cambria" w:cs="Arial"/>
                <w:b/>
                <w:bCs/>
                <w:i/>
                <w:sz w:val="16"/>
                <w:szCs w:val="16"/>
              </w:rPr>
            </w:pPr>
            <w:r w:rsidRPr="00D336D8">
              <w:rPr>
                <w:rFonts w:ascii="Cambria" w:hAnsi="Cambria" w:cs="Arial"/>
                <w:b/>
                <w:bCs/>
                <w:i/>
                <w:sz w:val="16"/>
                <w:szCs w:val="16"/>
              </w:rPr>
              <w:t>NOx</w:t>
            </w:r>
          </w:p>
        </w:tc>
        <w:tc>
          <w:tcPr>
            <w:tcW w:w="2114"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rsidR="005A21CA" w:rsidRPr="00D336D8" w:rsidRDefault="005A21CA" w:rsidP="005A21CA">
            <w:pPr>
              <w:spacing w:after="0" w:line="240" w:lineRule="auto"/>
              <w:jc w:val="center"/>
              <w:rPr>
                <w:rFonts w:ascii="Cambria" w:hAnsi="Cambria" w:cs="Arial"/>
                <w:b/>
                <w:bCs/>
                <w:i/>
                <w:sz w:val="16"/>
                <w:szCs w:val="16"/>
              </w:rPr>
            </w:pPr>
            <w:r w:rsidRPr="00D336D8">
              <w:rPr>
                <w:rFonts w:ascii="Cambria" w:hAnsi="Cambria" w:cs="Arial"/>
                <w:b/>
                <w:bCs/>
                <w:i/>
                <w:sz w:val="16"/>
                <w:szCs w:val="16"/>
              </w:rPr>
              <w:t>PM</w:t>
            </w:r>
            <w:r w:rsidRPr="00D336D8">
              <w:rPr>
                <w:rFonts w:ascii="Cambria" w:hAnsi="Cambria" w:cs="Arial"/>
                <w:b/>
                <w:bCs/>
                <w:i/>
                <w:sz w:val="16"/>
                <w:szCs w:val="16"/>
                <w:vertAlign w:val="subscript"/>
              </w:rPr>
              <w:t>10</w:t>
            </w:r>
          </w:p>
        </w:tc>
        <w:tc>
          <w:tcPr>
            <w:tcW w:w="1970"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rsidR="005A21CA" w:rsidRPr="00D336D8" w:rsidRDefault="005A21CA" w:rsidP="005A21CA">
            <w:pPr>
              <w:spacing w:after="0" w:line="240" w:lineRule="auto"/>
              <w:jc w:val="center"/>
              <w:rPr>
                <w:rFonts w:ascii="Cambria" w:hAnsi="Cambria" w:cs="Arial"/>
                <w:b/>
                <w:bCs/>
                <w:i/>
                <w:sz w:val="16"/>
                <w:szCs w:val="16"/>
              </w:rPr>
            </w:pPr>
            <w:r w:rsidRPr="00D336D8">
              <w:rPr>
                <w:rFonts w:ascii="Cambria" w:hAnsi="Cambria" w:cs="Arial"/>
                <w:b/>
                <w:bCs/>
                <w:i/>
                <w:sz w:val="16"/>
                <w:szCs w:val="16"/>
              </w:rPr>
              <w:t>PM</w:t>
            </w:r>
            <w:r w:rsidRPr="00D336D8">
              <w:rPr>
                <w:rFonts w:ascii="Cambria" w:hAnsi="Cambria" w:cs="Arial"/>
                <w:b/>
                <w:bCs/>
                <w:i/>
                <w:sz w:val="16"/>
                <w:szCs w:val="16"/>
                <w:vertAlign w:val="subscript"/>
              </w:rPr>
              <w:t>2.5</w:t>
            </w:r>
          </w:p>
        </w:tc>
      </w:tr>
      <w:tr w:rsidR="005A21CA" w:rsidRPr="00D336D8">
        <w:tblPrEx>
          <w:tblBorders>
            <w:top w:val="none" w:sz="0" w:space="0" w:color="auto"/>
            <w:left w:val="none" w:sz="0" w:space="0" w:color="auto"/>
            <w:bottom w:val="none" w:sz="0" w:space="0" w:color="auto"/>
            <w:right w:val="none" w:sz="0" w:space="0" w:color="auto"/>
          </w:tblBorders>
          <w:tblLook w:val="04A0" w:firstRow="1" w:lastRow="0" w:firstColumn="1" w:lastColumn="0" w:noHBand="0" w:noVBand="1"/>
        </w:tblPrEx>
        <w:trPr>
          <w:trHeight w:val="288"/>
        </w:trPr>
        <w:tc>
          <w:tcPr>
            <w:tcW w:w="869" w:type="dxa"/>
            <w:tcBorders>
              <w:top w:val="single" w:sz="4" w:space="0" w:color="auto"/>
              <w:left w:val="single" w:sz="4" w:space="0" w:color="auto"/>
              <w:bottom w:val="single" w:sz="4" w:space="0" w:color="auto"/>
              <w:right w:val="single" w:sz="4" w:space="0" w:color="auto"/>
            </w:tcBorders>
            <w:shd w:val="clear" w:color="auto" w:fill="D9D9D9"/>
            <w:vAlign w:val="center"/>
          </w:tcPr>
          <w:p w:rsidR="005A21CA" w:rsidRPr="00D336D8" w:rsidRDefault="005A21CA" w:rsidP="005A21CA">
            <w:pPr>
              <w:spacing w:after="0" w:line="240" w:lineRule="auto"/>
              <w:jc w:val="center"/>
              <w:rPr>
                <w:rFonts w:ascii="Cambria" w:hAnsi="Cambria" w:cs="Arial"/>
                <w:sz w:val="16"/>
                <w:szCs w:val="16"/>
              </w:rPr>
            </w:pPr>
            <w:r w:rsidRPr="00D336D8">
              <w:rPr>
                <w:rFonts w:ascii="Cambria" w:hAnsi="Cambria" w:cs="Arial"/>
                <w:sz w:val="16"/>
                <w:szCs w:val="16"/>
              </w:rPr>
              <w:t>Category</w:t>
            </w:r>
          </w:p>
        </w:tc>
        <w:tc>
          <w:tcPr>
            <w:tcW w:w="1064" w:type="dxa"/>
            <w:tcBorders>
              <w:top w:val="single" w:sz="4" w:space="0" w:color="auto"/>
              <w:left w:val="single" w:sz="4" w:space="0" w:color="auto"/>
              <w:bottom w:val="single" w:sz="4" w:space="0" w:color="auto"/>
              <w:right w:val="single" w:sz="4" w:space="0" w:color="auto"/>
            </w:tcBorders>
            <w:shd w:val="clear" w:color="auto" w:fill="D9D9D9"/>
            <w:vAlign w:val="center"/>
          </w:tcPr>
          <w:p w:rsidR="005A21CA" w:rsidRPr="00D336D8" w:rsidRDefault="005A21CA" w:rsidP="005A21CA">
            <w:pPr>
              <w:spacing w:after="0" w:line="240" w:lineRule="auto"/>
              <w:jc w:val="center"/>
              <w:rPr>
                <w:rFonts w:ascii="Cambria" w:hAnsi="Cambria" w:cs="Arial"/>
                <w:sz w:val="16"/>
                <w:szCs w:val="16"/>
              </w:rPr>
            </w:pPr>
            <w:r w:rsidRPr="00D336D8">
              <w:rPr>
                <w:rFonts w:ascii="Cambria" w:hAnsi="Cambria" w:cs="Arial"/>
                <w:sz w:val="16"/>
                <w:szCs w:val="16"/>
              </w:rPr>
              <w:t>Unmitigated</w:t>
            </w:r>
          </w:p>
        </w:tc>
        <w:tc>
          <w:tcPr>
            <w:tcW w:w="1050" w:type="dxa"/>
            <w:tcBorders>
              <w:top w:val="single" w:sz="4" w:space="0" w:color="auto"/>
              <w:left w:val="single" w:sz="4" w:space="0" w:color="auto"/>
              <w:bottom w:val="single" w:sz="4" w:space="0" w:color="auto"/>
              <w:right w:val="single" w:sz="4" w:space="0" w:color="auto"/>
            </w:tcBorders>
            <w:shd w:val="clear" w:color="auto" w:fill="D9D9D9"/>
            <w:vAlign w:val="center"/>
          </w:tcPr>
          <w:p w:rsidR="005A21CA" w:rsidRPr="00D336D8" w:rsidRDefault="005A21CA" w:rsidP="005A21CA">
            <w:pPr>
              <w:spacing w:after="0" w:line="240" w:lineRule="auto"/>
              <w:jc w:val="center"/>
              <w:rPr>
                <w:rFonts w:ascii="Cambria" w:hAnsi="Cambria" w:cs="Arial"/>
                <w:sz w:val="16"/>
                <w:szCs w:val="16"/>
              </w:rPr>
            </w:pPr>
            <w:r w:rsidRPr="00D336D8">
              <w:rPr>
                <w:rFonts w:ascii="Cambria" w:hAnsi="Cambria" w:cs="Arial"/>
                <w:sz w:val="16"/>
                <w:szCs w:val="16"/>
              </w:rPr>
              <w:t>Mitigated</w:t>
            </w:r>
          </w:p>
        </w:tc>
        <w:tc>
          <w:tcPr>
            <w:tcW w:w="1064" w:type="dxa"/>
            <w:tcBorders>
              <w:top w:val="single" w:sz="4" w:space="0" w:color="auto"/>
              <w:left w:val="single" w:sz="4" w:space="0" w:color="auto"/>
              <w:bottom w:val="single" w:sz="4" w:space="0" w:color="auto"/>
              <w:right w:val="single" w:sz="4" w:space="0" w:color="auto"/>
            </w:tcBorders>
            <w:shd w:val="clear" w:color="auto" w:fill="D9D9D9"/>
            <w:vAlign w:val="center"/>
          </w:tcPr>
          <w:p w:rsidR="005A21CA" w:rsidRPr="00D336D8" w:rsidRDefault="005A21CA" w:rsidP="005A21CA">
            <w:pPr>
              <w:spacing w:after="0" w:line="240" w:lineRule="auto"/>
              <w:jc w:val="center"/>
              <w:rPr>
                <w:rFonts w:ascii="Cambria" w:hAnsi="Cambria" w:cs="Arial"/>
                <w:sz w:val="16"/>
                <w:szCs w:val="16"/>
              </w:rPr>
            </w:pPr>
            <w:r w:rsidRPr="00D336D8">
              <w:rPr>
                <w:rFonts w:ascii="Cambria" w:hAnsi="Cambria" w:cs="Arial"/>
                <w:sz w:val="16"/>
                <w:szCs w:val="16"/>
              </w:rPr>
              <w:t>Unmitigated</w:t>
            </w:r>
          </w:p>
        </w:tc>
        <w:tc>
          <w:tcPr>
            <w:tcW w:w="870" w:type="dxa"/>
            <w:tcBorders>
              <w:top w:val="single" w:sz="4" w:space="0" w:color="auto"/>
              <w:left w:val="single" w:sz="4" w:space="0" w:color="auto"/>
              <w:bottom w:val="single" w:sz="4" w:space="0" w:color="auto"/>
              <w:right w:val="single" w:sz="4" w:space="0" w:color="auto"/>
            </w:tcBorders>
            <w:shd w:val="clear" w:color="auto" w:fill="D9D9D9"/>
            <w:vAlign w:val="center"/>
          </w:tcPr>
          <w:p w:rsidR="005A21CA" w:rsidRPr="00D336D8" w:rsidRDefault="005A21CA" w:rsidP="005A21CA">
            <w:pPr>
              <w:spacing w:after="0" w:line="240" w:lineRule="auto"/>
              <w:jc w:val="center"/>
              <w:rPr>
                <w:rFonts w:ascii="Cambria" w:hAnsi="Cambria" w:cs="Arial"/>
                <w:sz w:val="16"/>
                <w:szCs w:val="16"/>
              </w:rPr>
            </w:pPr>
            <w:r w:rsidRPr="00D336D8">
              <w:rPr>
                <w:rFonts w:ascii="Cambria" w:hAnsi="Cambria" w:cs="Arial"/>
                <w:sz w:val="16"/>
                <w:szCs w:val="16"/>
              </w:rPr>
              <w:t>Mitigated</w:t>
            </w:r>
          </w:p>
        </w:tc>
        <w:tc>
          <w:tcPr>
            <w:tcW w:w="1064" w:type="dxa"/>
            <w:tcBorders>
              <w:top w:val="single" w:sz="4" w:space="0" w:color="auto"/>
              <w:left w:val="single" w:sz="4" w:space="0" w:color="auto"/>
              <w:bottom w:val="single" w:sz="4" w:space="0" w:color="auto"/>
              <w:right w:val="single" w:sz="4" w:space="0" w:color="auto"/>
            </w:tcBorders>
            <w:shd w:val="clear" w:color="auto" w:fill="D9D9D9"/>
            <w:vAlign w:val="center"/>
          </w:tcPr>
          <w:p w:rsidR="005A21CA" w:rsidRPr="00D336D8" w:rsidRDefault="005A21CA" w:rsidP="005A21CA">
            <w:pPr>
              <w:spacing w:after="0" w:line="240" w:lineRule="auto"/>
              <w:jc w:val="center"/>
              <w:rPr>
                <w:rFonts w:ascii="Cambria" w:hAnsi="Cambria" w:cs="Arial"/>
                <w:sz w:val="16"/>
                <w:szCs w:val="16"/>
              </w:rPr>
            </w:pPr>
            <w:r w:rsidRPr="00D336D8">
              <w:rPr>
                <w:rFonts w:ascii="Cambria" w:hAnsi="Cambria" w:cs="Arial"/>
                <w:sz w:val="16"/>
                <w:szCs w:val="16"/>
              </w:rPr>
              <w:t>Unmitigated</w:t>
            </w:r>
          </w:p>
        </w:tc>
        <w:tc>
          <w:tcPr>
            <w:tcW w:w="1050" w:type="dxa"/>
            <w:tcBorders>
              <w:top w:val="single" w:sz="4" w:space="0" w:color="auto"/>
              <w:left w:val="single" w:sz="4" w:space="0" w:color="auto"/>
              <w:bottom w:val="single" w:sz="4" w:space="0" w:color="auto"/>
              <w:right w:val="single" w:sz="4" w:space="0" w:color="auto"/>
            </w:tcBorders>
            <w:shd w:val="clear" w:color="auto" w:fill="D9D9D9"/>
            <w:vAlign w:val="center"/>
          </w:tcPr>
          <w:p w:rsidR="005A21CA" w:rsidRPr="00D336D8" w:rsidRDefault="005A21CA" w:rsidP="005A21CA">
            <w:pPr>
              <w:spacing w:after="0" w:line="240" w:lineRule="auto"/>
              <w:jc w:val="center"/>
              <w:rPr>
                <w:rFonts w:ascii="Cambria" w:hAnsi="Cambria" w:cs="Arial"/>
                <w:sz w:val="16"/>
                <w:szCs w:val="16"/>
              </w:rPr>
            </w:pPr>
            <w:r w:rsidRPr="00D336D8">
              <w:rPr>
                <w:rFonts w:ascii="Cambria" w:hAnsi="Cambria" w:cs="Arial"/>
                <w:sz w:val="16"/>
                <w:szCs w:val="16"/>
              </w:rPr>
              <w:t>Mitigated</w:t>
            </w:r>
          </w:p>
        </w:tc>
        <w:tc>
          <w:tcPr>
            <w:tcW w:w="1064" w:type="dxa"/>
            <w:tcBorders>
              <w:top w:val="single" w:sz="4" w:space="0" w:color="auto"/>
              <w:left w:val="single" w:sz="4" w:space="0" w:color="auto"/>
              <w:bottom w:val="single" w:sz="4" w:space="0" w:color="auto"/>
              <w:right w:val="single" w:sz="4" w:space="0" w:color="auto"/>
            </w:tcBorders>
            <w:shd w:val="clear" w:color="auto" w:fill="D9D9D9"/>
            <w:vAlign w:val="center"/>
          </w:tcPr>
          <w:p w:rsidR="005A21CA" w:rsidRPr="00D336D8" w:rsidRDefault="005A21CA" w:rsidP="005A21CA">
            <w:pPr>
              <w:spacing w:after="0" w:line="240" w:lineRule="auto"/>
              <w:jc w:val="center"/>
              <w:rPr>
                <w:rFonts w:ascii="Cambria" w:hAnsi="Cambria" w:cs="Arial"/>
                <w:sz w:val="16"/>
                <w:szCs w:val="16"/>
              </w:rPr>
            </w:pPr>
            <w:r w:rsidRPr="00D336D8">
              <w:rPr>
                <w:rFonts w:ascii="Cambria" w:hAnsi="Cambria" w:cs="Arial"/>
                <w:sz w:val="16"/>
                <w:szCs w:val="16"/>
              </w:rPr>
              <w:t>Unmitigated</w:t>
            </w:r>
          </w:p>
        </w:tc>
        <w:tc>
          <w:tcPr>
            <w:tcW w:w="906" w:type="dxa"/>
            <w:tcBorders>
              <w:top w:val="single" w:sz="4" w:space="0" w:color="auto"/>
              <w:left w:val="single" w:sz="4" w:space="0" w:color="auto"/>
              <w:bottom w:val="single" w:sz="4" w:space="0" w:color="auto"/>
              <w:right w:val="single" w:sz="4" w:space="0" w:color="auto"/>
            </w:tcBorders>
            <w:shd w:val="clear" w:color="auto" w:fill="D9D9D9"/>
            <w:vAlign w:val="center"/>
          </w:tcPr>
          <w:p w:rsidR="005A21CA" w:rsidRPr="00D336D8" w:rsidRDefault="005A21CA" w:rsidP="005A21CA">
            <w:pPr>
              <w:spacing w:after="0" w:line="240" w:lineRule="auto"/>
              <w:jc w:val="center"/>
              <w:rPr>
                <w:rFonts w:ascii="Cambria" w:hAnsi="Cambria" w:cs="Arial"/>
                <w:sz w:val="16"/>
                <w:szCs w:val="16"/>
              </w:rPr>
            </w:pPr>
            <w:r w:rsidRPr="00D336D8">
              <w:rPr>
                <w:rFonts w:ascii="Cambria" w:hAnsi="Cambria" w:cs="Arial"/>
                <w:sz w:val="16"/>
                <w:szCs w:val="16"/>
              </w:rPr>
              <w:t>Mitigated</w:t>
            </w:r>
          </w:p>
        </w:tc>
      </w:tr>
      <w:tr w:rsidR="005A21CA" w:rsidRPr="00D33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60"/>
        </w:trPr>
        <w:tc>
          <w:tcPr>
            <w:tcW w:w="9001" w:type="dxa"/>
            <w:gridSpan w:val="9"/>
            <w:shd w:val="clear" w:color="000000" w:fill="C0C0C0"/>
            <w:vAlign w:val="center"/>
          </w:tcPr>
          <w:p w:rsidR="005A21CA" w:rsidRPr="00D336D8" w:rsidRDefault="005A21CA" w:rsidP="005A21CA">
            <w:pPr>
              <w:spacing w:after="0" w:line="240" w:lineRule="auto"/>
              <w:jc w:val="center"/>
              <w:rPr>
                <w:rFonts w:ascii="Cambria" w:hAnsi="Cambria" w:cs="Arial"/>
                <w:color w:val="000000"/>
                <w:sz w:val="16"/>
                <w:szCs w:val="16"/>
              </w:rPr>
            </w:pPr>
            <w:r w:rsidRPr="00D336D8">
              <w:rPr>
                <w:rFonts w:ascii="Cambria" w:hAnsi="Cambria" w:cs="Arial"/>
                <w:color w:val="000000"/>
                <w:sz w:val="16"/>
                <w:szCs w:val="16"/>
              </w:rPr>
              <w:t>Summer (maximum daily lbs/day)</w:t>
            </w:r>
          </w:p>
        </w:tc>
      </w:tr>
      <w:tr w:rsidR="005A21CA" w:rsidRPr="00D33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4"/>
        </w:trPr>
        <w:tc>
          <w:tcPr>
            <w:tcW w:w="869" w:type="dxa"/>
            <w:shd w:val="clear" w:color="auto" w:fill="auto"/>
            <w:vAlign w:val="center"/>
          </w:tcPr>
          <w:p w:rsidR="005A21CA" w:rsidRPr="00D336D8" w:rsidRDefault="005A21CA" w:rsidP="005A21CA">
            <w:pPr>
              <w:spacing w:after="0" w:line="240" w:lineRule="auto"/>
              <w:jc w:val="center"/>
              <w:rPr>
                <w:rFonts w:ascii="Cambria" w:hAnsi="Cambria" w:cs="Arial"/>
                <w:b/>
                <w:sz w:val="16"/>
                <w:szCs w:val="16"/>
              </w:rPr>
            </w:pPr>
            <w:r w:rsidRPr="00D336D8">
              <w:rPr>
                <w:rFonts w:ascii="Cambria" w:hAnsi="Cambria" w:cs="Arial"/>
                <w:b/>
                <w:sz w:val="16"/>
                <w:szCs w:val="16"/>
              </w:rPr>
              <w:t>Area</w:t>
            </w:r>
          </w:p>
        </w:tc>
        <w:tc>
          <w:tcPr>
            <w:tcW w:w="1064" w:type="dxa"/>
            <w:shd w:val="clear" w:color="auto" w:fill="auto"/>
            <w:vAlign w:val="center"/>
          </w:tcPr>
          <w:p w:rsidR="005A21CA" w:rsidRPr="00D336D8" w:rsidRDefault="005A21CA" w:rsidP="005A21CA">
            <w:pPr>
              <w:spacing w:after="0" w:line="240" w:lineRule="auto"/>
              <w:jc w:val="center"/>
              <w:rPr>
                <w:rFonts w:ascii="Cambria" w:hAnsi="Cambria" w:cs="Arial"/>
                <w:color w:val="000000"/>
                <w:sz w:val="16"/>
                <w:szCs w:val="16"/>
              </w:rPr>
            </w:pPr>
            <w:r w:rsidRPr="00D336D8">
              <w:rPr>
                <w:rFonts w:ascii="Cambria" w:hAnsi="Cambria" w:cs="Arial"/>
                <w:color w:val="000000"/>
                <w:sz w:val="16"/>
                <w:szCs w:val="16"/>
              </w:rPr>
              <w:t>450.3772</w:t>
            </w:r>
          </w:p>
        </w:tc>
        <w:tc>
          <w:tcPr>
            <w:tcW w:w="1050" w:type="dxa"/>
            <w:vAlign w:val="center"/>
          </w:tcPr>
          <w:p w:rsidR="005A21CA" w:rsidRPr="00D336D8" w:rsidRDefault="005A21CA" w:rsidP="005A21CA">
            <w:pPr>
              <w:spacing w:after="0"/>
              <w:jc w:val="center"/>
              <w:rPr>
                <w:rFonts w:ascii="Cambria" w:hAnsi="Cambria" w:cs="Arial"/>
                <w:color w:val="000000"/>
                <w:sz w:val="16"/>
                <w:szCs w:val="16"/>
              </w:rPr>
            </w:pPr>
            <w:r w:rsidRPr="00D336D8">
              <w:rPr>
                <w:rFonts w:ascii="Cambria" w:hAnsi="Cambria" w:cs="Arial"/>
                <w:color w:val="000000"/>
                <w:sz w:val="16"/>
                <w:szCs w:val="16"/>
              </w:rPr>
              <w:t>188.0493</w:t>
            </w:r>
          </w:p>
        </w:tc>
        <w:tc>
          <w:tcPr>
            <w:tcW w:w="1064" w:type="dxa"/>
            <w:shd w:val="clear" w:color="auto" w:fill="auto"/>
            <w:vAlign w:val="center"/>
          </w:tcPr>
          <w:p w:rsidR="005A21CA" w:rsidRPr="00D336D8" w:rsidRDefault="005A21CA" w:rsidP="005A21CA">
            <w:pPr>
              <w:spacing w:after="0" w:line="240" w:lineRule="auto"/>
              <w:jc w:val="center"/>
              <w:rPr>
                <w:rFonts w:ascii="Cambria" w:hAnsi="Cambria" w:cs="Arial"/>
                <w:color w:val="000000"/>
                <w:sz w:val="16"/>
                <w:szCs w:val="16"/>
              </w:rPr>
            </w:pPr>
            <w:r w:rsidRPr="00D336D8">
              <w:rPr>
                <w:rFonts w:ascii="Cambria" w:hAnsi="Cambria" w:cs="Arial"/>
                <w:color w:val="000000"/>
                <w:sz w:val="16"/>
                <w:szCs w:val="16"/>
              </w:rPr>
              <w:t>779.5041</w:t>
            </w:r>
          </w:p>
        </w:tc>
        <w:tc>
          <w:tcPr>
            <w:tcW w:w="870" w:type="dxa"/>
            <w:vAlign w:val="center"/>
          </w:tcPr>
          <w:p w:rsidR="005A21CA" w:rsidRPr="00D336D8" w:rsidRDefault="005A21CA" w:rsidP="005A21CA">
            <w:pPr>
              <w:spacing w:after="0"/>
              <w:jc w:val="center"/>
              <w:rPr>
                <w:rFonts w:ascii="Cambria" w:hAnsi="Cambria" w:cs="Arial"/>
                <w:color w:val="000000"/>
                <w:sz w:val="16"/>
                <w:szCs w:val="16"/>
              </w:rPr>
            </w:pPr>
            <w:r w:rsidRPr="00D336D8">
              <w:rPr>
                <w:rFonts w:ascii="Cambria" w:hAnsi="Cambria" w:cs="Arial"/>
                <w:color w:val="000000"/>
                <w:sz w:val="16"/>
                <w:szCs w:val="16"/>
              </w:rPr>
              <w:t>2.1077</w:t>
            </w:r>
          </w:p>
        </w:tc>
        <w:tc>
          <w:tcPr>
            <w:tcW w:w="1064" w:type="dxa"/>
            <w:shd w:val="clear" w:color="auto" w:fill="auto"/>
            <w:vAlign w:val="center"/>
          </w:tcPr>
          <w:p w:rsidR="005A21CA" w:rsidRPr="00D336D8" w:rsidRDefault="005A21CA" w:rsidP="005A21CA">
            <w:pPr>
              <w:spacing w:after="0" w:line="240" w:lineRule="auto"/>
              <w:jc w:val="center"/>
              <w:rPr>
                <w:rFonts w:ascii="Cambria" w:hAnsi="Cambria" w:cs="Arial"/>
                <w:color w:val="000000"/>
                <w:sz w:val="16"/>
                <w:szCs w:val="16"/>
              </w:rPr>
            </w:pPr>
            <w:r w:rsidRPr="00D336D8">
              <w:rPr>
                <w:rFonts w:ascii="Cambria" w:hAnsi="Cambria" w:cs="Arial"/>
                <w:color w:val="000000"/>
                <w:sz w:val="16"/>
                <w:szCs w:val="16"/>
              </w:rPr>
              <w:t>439.3443</w:t>
            </w:r>
          </w:p>
        </w:tc>
        <w:tc>
          <w:tcPr>
            <w:tcW w:w="1050" w:type="dxa"/>
            <w:vAlign w:val="center"/>
          </w:tcPr>
          <w:p w:rsidR="005A21CA" w:rsidRPr="00D336D8" w:rsidRDefault="005A21CA" w:rsidP="005A21CA">
            <w:pPr>
              <w:spacing w:after="0"/>
              <w:jc w:val="center"/>
              <w:rPr>
                <w:rFonts w:ascii="Cambria" w:hAnsi="Cambria" w:cs="Arial"/>
                <w:color w:val="000000"/>
                <w:sz w:val="16"/>
                <w:szCs w:val="16"/>
              </w:rPr>
            </w:pPr>
            <w:r w:rsidRPr="00D336D8">
              <w:rPr>
                <w:rFonts w:ascii="Cambria" w:hAnsi="Cambria" w:cs="Arial"/>
                <w:color w:val="000000"/>
                <w:sz w:val="16"/>
                <w:szCs w:val="16"/>
              </w:rPr>
              <w:t>4.2826</w:t>
            </w:r>
          </w:p>
        </w:tc>
        <w:tc>
          <w:tcPr>
            <w:tcW w:w="1064" w:type="dxa"/>
            <w:shd w:val="clear" w:color="auto" w:fill="auto"/>
            <w:vAlign w:val="center"/>
          </w:tcPr>
          <w:p w:rsidR="005A21CA" w:rsidRPr="00D336D8" w:rsidRDefault="005A21CA" w:rsidP="005A21CA">
            <w:pPr>
              <w:spacing w:after="0" w:line="240" w:lineRule="auto"/>
              <w:jc w:val="center"/>
              <w:rPr>
                <w:rFonts w:ascii="Cambria" w:hAnsi="Cambria" w:cs="Arial"/>
                <w:color w:val="000000"/>
                <w:sz w:val="16"/>
                <w:szCs w:val="16"/>
              </w:rPr>
            </w:pPr>
            <w:r w:rsidRPr="00D336D8">
              <w:rPr>
                <w:rFonts w:ascii="Cambria" w:hAnsi="Cambria" w:cs="Arial"/>
                <w:color w:val="000000"/>
                <w:sz w:val="16"/>
                <w:szCs w:val="16"/>
              </w:rPr>
              <w:t>124.3789</w:t>
            </w:r>
          </w:p>
        </w:tc>
        <w:tc>
          <w:tcPr>
            <w:tcW w:w="906" w:type="dxa"/>
            <w:vAlign w:val="center"/>
          </w:tcPr>
          <w:p w:rsidR="005A21CA" w:rsidRPr="00D336D8" w:rsidRDefault="005A21CA" w:rsidP="005A21CA">
            <w:pPr>
              <w:spacing w:after="0"/>
              <w:jc w:val="center"/>
              <w:rPr>
                <w:rFonts w:ascii="Cambria" w:hAnsi="Cambria" w:cs="Arial"/>
                <w:color w:val="000000"/>
                <w:sz w:val="16"/>
                <w:szCs w:val="16"/>
              </w:rPr>
            </w:pPr>
            <w:r w:rsidRPr="00D336D8">
              <w:rPr>
                <w:rFonts w:ascii="Cambria" w:hAnsi="Cambria" w:cs="Arial"/>
                <w:color w:val="000000"/>
                <w:sz w:val="16"/>
                <w:szCs w:val="16"/>
              </w:rPr>
              <w:t>4.2476</w:t>
            </w:r>
          </w:p>
        </w:tc>
      </w:tr>
      <w:tr w:rsidR="005A21CA" w:rsidRPr="00D33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4"/>
        </w:trPr>
        <w:tc>
          <w:tcPr>
            <w:tcW w:w="869" w:type="dxa"/>
            <w:shd w:val="clear" w:color="auto" w:fill="auto"/>
            <w:vAlign w:val="center"/>
          </w:tcPr>
          <w:p w:rsidR="005A21CA" w:rsidRPr="00D336D8" w:rsidRDefault="005A21CA" w:rsidP="005A21CA">
            <w:pPr>
              <w:spacing w:after="0" w:line="240" w:lineRule="auto"/>
              <w:jc w:val="center"/>
              <w:rPr>
                <w:rFonts w:ascii="Cambria" w:hAnsi="Cambria" w:cs="Arial"/>
                <w:b/>
                <w:sz w:val="16"/>
                <w:szCs w:val="16"/>
              </w:rPr>
            </w:pPr>
            <w:r w:rsidRPr="00D336D8">
              <w:rPr>
                <w:rFonts w:ascii="Cambria" w:hAnsi="Cambria" w:cs="Arial"/>
                <w:b/>
                <w:sz w:val="16"/>
                <w:szCs w:val="16"/>
              </w:rPr>
              <w:t>Energy</w:t>
            </w:r>
          </w:p>
        </w:tc>
        <w:tc>
          <w:tcPr>
            <w:tcW w:w="1064" w:type="dxa"/>
            <w:shd w:val="clear" w:color="auto" w:fill="auto"/>
            <w:vAlign w:val="center"/>
          </w:tcPr>
          <w:p w:rsidR="005A21CA" w:rsidRPr="00D336D8" w:rsidRDefault="005A21CA" w:rsidP="005A21CA">
            <w:pPr>
              <w:spacing w:after="0" w:line="240" w:lineRule="auto"/>
              <w:jc w:val="center"/>
              <w:rPr>
                <w:rFonts w:ascii="Cambria" w:hAnsi="Cambria" w:cs="Arial"/>
                <w:color w:val="000000"/>
                <w:sz w:val="16"/>
                <w:szCs w:val="16"/>
              </w:rPr>
            </w:pPr>
            <w:r w:rsidRPr="00D336D8">
              <w:rPr>
                <w:rFonts w:ascii="Cambria" w:hAnsi="Cambria" w:cs="Arial"/>
                <w:color w:val="000000"/>
                <w:sz w:val="16"/>
                <w:szCs w:val="16"/>
              </w:rPr>
              <w:t>3,990.7129</w:t>
            </w:r>
          </w:p>
        </w:tc>
        <w:tc>
          <w:tcPr>
            <w:tcW w:w="1050" w:type="dxa"/>
            <w:vAlign w:val="center"/>
          </w:tcPr>
          <w:p w:rsidR="005A21CA" w:rsidRPr="00D336D8" w:rsidRDefault="005A21CA" w:rsidP="005A21CA">
            <w:pPr>
              <w:spacing w:after="0"/>
              <w:jc w:val="center"/>
              <w:rPr>
                <w:rFonts w:ascii="Cambria" w:hAnsi="Cambria" w:cs="Arial"/>
                <w:color w:val="000000"/>
                <w:sz w:val="16"/>
                <w:szCs w:val="16"/>
              </w:rPr>
            </w:pPr>
            <w:r w:rsidRPr="00D336D8">
              <w:rPr>
                <w:rFonts w:ascii="Cambria" w:hAnsi="Cambria" w:cs="Arial"/>
                <w:color w:val="000000"/>
                <w:sz w:val="16"/>
                <w:szCs w:val="16"/>
              </w:rPr>
              <w:t>2.9246</w:t>
            </w:r>
          </w:p>
        </w:tc>
        <w:tc>
          <w:tcPr>
            <w:tcW w:w="1064" w:type="dxa"/>
            <w:shd w:val="clear" w:color="auto" w:fill="auto"/>
            <w:vAlign w:val="center"/>
          </w:tcPr>
          <w:p w:rsidR="005A21CA" w:rsidRPr="00D336D8" w:rsidRDefault="005A21CA" w:rsidP="005A21CA">
            <w:pPr>
              <w:spacing w:after="0" w:line="240" w:lineRule="auto"/>
              <w:jc w:val="center"/>
              <w:rPr>
                <w:rFonts w:ascii="Cambria" w:hAnsi="Cambria" w:cs="Arial"/>
                <w:color w:val="000000"/>
                <w:sz w:val="16"/>
                <w:szCs w:val="16"/>
              </w:rPr>
            </w:pPr>
            <w:r w:rsidRPr="00D336D8">
              <w:rPr>
                <w:rFonts w:ascii="Cambria" w:hAnsi="Cambria" w:cs="Arial"/>
                <w:color w:val="000000"/>
                <w:sz w:val="16"/>
                <w:szCs w:val="16"/>
              </w:rPr>
              <w:t>52.4006</w:t>
            </w:r>
          </w:p>
        </w:tc>
        <w:tc>
          <w:tcPr>
            <w:tcW w:w="870" w:type="dxa"/>
            <w:vAlign w:val="center"/>
          </w:tcPr>
          <w:p w:rsidR="005A21CA" w:rsidRPr="00D336D8" w:rsidRDefault="005A21CA" w:rsidP="005A21CA">
            <w:pPr>
              <w:spacing w:after="0"/>
              <w:jc w:val="center"/>
              <w:rPr>
                <w:rFonts w:ascii="Cambria" w:hAnsi="Cambria" w:cs="Arial"/>
                <w:color w:val="000000"/>
                <w:sz w:val="16"/>
                <w:szCs w:val="16"/>
              </w:rPr>
            </w:pPr>
            <w:r w:rsidRPr="00D336D8">
              <w:rPr>
                <w:rFonts w:ascii="Cambria" w:hAnsi="Cambria" w:cs="Arial"/>
                <w:color w:val="000000"/>
                <w:sz w:val="16"/>
                <w:szCs w:val="16"/>
              </w:rPr>
              <w:t>25.5303</w:t>
            </w:r>
          </w:p>
        </w:tc>
        <w:tc>
          <w:tcPr>
            <w:tcW w:w="1064" w:type="dxa"/>
            <w:shd w:val="clear" w:color="auto" w:fill="auto"/>
            <w:vAlign w:val="center"/>
          </w:tcPr>
          <w:p w:rsidR="005A21CA" w:rsidRPr="00D336D8" w:rsidRDefault="005A21CA" w:rsidP="005A21CA">
            <w:pPr>
              <w:spacing w:after="0" w:line="240" w:lineRule="auto"/>
              <w:jc w:val="center"/>
              <w:rPr>
                <w:rFonts w:ascii="Cambria" w:hAnsi="Cambria" w:cs="Arial"/>
                <w:color w:val="000000"/>
                <w:sz w:val="16"/>
                <w:szCs w:val="16"/>
              </w:rPr>
            </w:pPr>
            <w:r w:rsidRPr="00D336D8">
              <w:rPr>
                <w:rFonts w:ascii="Cambria" w:hAnsi="Cambria" w:cs="Arial"/>
                <w:color w:val="000000"/>
                <w:sz w:val="16"/>
                <w:szCs w:val="16"/>
              </w:rPr>
              <w:t>646.6580</w:t>
            </w:r>
          </w:p>
        </w:tc>
        <w:tc>
          <w:tcPr>
            <w:tcW w:w="1050" w:type="dxa"/>
            <w:vAlign w:val="center"/>
          </w:tcPr>
          <w:p w:rsidR="005A21CA" w:rsidRPr="00D336D8" w:rsidRDefault="005A21CA" w:rsidP="005A21CA">
            <w:pPr>
              <w:spacing w:after="0"/>
              <w:jc w:val="center"/>
              <w:rPr>
                <w:rFonts w:ascii="Cambria" w:hAnsi="Cambria" w:cs="Arial"/>
                <w:color w:val="000000"/>
                <w:sz w:val="16"/>
                <w:szCs w:val="16"/>
              </w:rPr>
            </w:pPr>
            <w:r w:rsidRPr="00D336D8">
              <w:rPr>
                <w:rFonts w:ascii="Cambria" w:hAnsi="Cambria" w:cs="Arial"/>
                <w:color w:val="000000"/>
                <w:sz w:val="16"/>
                <w:szCs w:val="16"/>
              </w:rPr>
              <w:t>2.0207</w:t>
            </w:r>
          </w:p>
        </w:tc>
        <w:tc>
          <w:tcPr>
            <w:tcW w:w="1064" w:type="dxa"/>
            <w:shd w:val="clear" w:color="auto" w:fill="auto"/>
            <w:vAlign w:val="center"/>
          </w:tcPr>
          <w:p w:rsidR="005A21CA" w:rsidRPr="00D336D8" w:rsidRDefault="005A21CA" w:rsidP="005A21CA">
            <w:pPr>
              <w:spacing w:after="0" w:line="240" w:lineRule="auto"/>
              <w:jc w:val="center"/>
              <w:rPr>
                <w:rFonts w:ascii="Cambria" w:hAnsi="Cambria" w:cs="Arial"/>
                <w:color w:val="000000"/>
                <w:sz w:val="16"/>
                <w:szCs w:val="16"/>
              </w:rPr>
            </w:pPr>
            <w:r w:rsidRPr="00D336D8">
              <w:rPr>
                <w:rFonts w:ascii="Cambria" w:hAnsi="Cambria" w:cs="Arial"/>
                <w:color w:val="000000"/>
                <w:sz w:val="16"/>
                <w:szCs w:val="16"/>
              </w:rPr>
              <w:t>646.6387</w:t>
            </w:r>
          </w:p>
        </w:tc>
        <w:tc>
          <w:tcPr>
            <w:tcW w:w="906" w:type="dxa"/>
            <w:vAlign w:val="center"/>
          </w:tcPr>
          <w:p w:rsidR="005A21CA" w:rsidRPr="00D336D8" w:rsidRDefault="005A21CA" w:rsidP="005A21CA">
            <w:pPr>
              <w:spacing w:after="0"/>
              <w:jc w:val="center"/>
              <w:rPr>
                <w:rFonts w:ascii="Cambria" w:hAnsi="Cambria" w:cs="Arial"/>
                <w:color w:val="000000"/>
                <w:sz w:val="16"/>
                <w:szCs w:val="16"/>
              </w:rPr>
            </w:pPr>
            <w:r w:rsidRPr="00D336D8">
              <w:rPr>
                <w:rFonts w:ascii="Cambria" w:hAnsi="Cambria" w:cs="Arial"/>
                <w:color w:val="000000"/>
                <w:sz w:val="16"/>
                <w:szCs w:val="16"/>
              </w:rPr>
              <w:t>2.0207</w:t>
            </w:r>
          </w:p>
        </w:tc>
      </w:tr>
      <w:tr w:rsidR="005A21CA" w:rsidRPr="00D33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4"/>
        </w:trPr>
        <w:tc>
          <w:tcPr>
            <w:tcW w:w="869" w:type="dxa"/>
            <w:shd w:val="clear" w:color="auto" w:fill="auto"/>
            <w:vAlign w:val="center"/>
          </w:tcPr>
          <w:p w:rsidR="005A21CA" w:rsidRPr="00D336D8" w:rsidRDefault="005A21CA" w:rsidP="005A21CA">
            <w:pPr>
              <w:spacing w:after="0" w:line="240" w:lineRule="auto"/>
              <w:jc w:val="center"/>
              <w:rPr>
                <w:rFonts w:ascii="Cambria" w:hAnsi="Cambria" w:cs="Arial"/>
                <w:b/>
                <w:sz w:val="16"/>
                <w:szCs w:val="16"/>
              </w:rPr>
            </w:pPr>
            <w:r w:rsidRPr="00D336D8">
              <w:rPr>
                <w:rFonts w:ascii="Cambria" w:hAnsi="Cambria" w:cs="Arial"/>
                <w:b/>
                <w:sz w:val="16"/>
                <w:szCs w:val="16"/>
              </w:rPr>
              <w:t>Mobile</w:t>
            </w:r>
          </w:p>
        </w:tc>
        <w:tc>
          <w:tcPr>
            <w:tcW w:w="1064" w:type="dxa"/>
            <w:shd w:val="clear" w:color="auto" w:fill="auto"/>
            <w:vAlign w:val="center"/>
          </w:tcPr>
          <w:p w:rsidR="005A21CA" w:rsidRPr="00D336D8" w:rsidRDefault="005A21CA" w:rsidP="005A21CA">
            <w:pPr>
              <w:spacing w:after="0" w:line="240" w:lineRule="auto"/>
              <w:jc w:val="center"/>
              <w:rPr>
                <w:rFonts w:ascii="Cambria" w:hAnsi="Cambria" w:cs="Arial"/>
                <w:color w:val="000000"/>
                <w:sz w:val="16"/>
                <w:szCs w:val="16"/>
              </w:rPr>
            </w:pPr>
            <w:r w:rsidRPr="00D336D8">
              <w:rPr>
                <w:rFonts w:ascii="Cambria" w:hAnsi="Cambria" w:cs="Arial"/>
                <w:color w:val="000000"/>
                <w:sz w:val="16"/>
                <w:szCs w:val="16"/>
              </w:rPr>
              <w:t>3.3750</w:t>
            </w:r>
          </w:p>
        </w:tc>
        <w:tc>
          <w:tcPr>
            <w:tcW w:w="1050" w:type="dxa"/>
            <w:vAlign w:val="center"/>
          </w:tcPr>
          <w:p w:rsidR="005A21CA" w:rsidRPr="00D336D8" w:rsidRDefault="005A21CA" w:rsidP="005A21CA">
            <w:pPr>
              <w:spacing w:after="0"/>
              <w:jc w:val="center"/>
              <w:rPr>
                <w:rFonts w:ascii="Cambria" w:hAnsi="Cambria" w:cs="Arial"/>
                <w:color w:val="000000"/>
                <w:sz w:val="16"/>
                <w:szCs w:val="16"/>
              </w:rPr>
            </w:pPr>
            <w:r w:rsidRPr="00D336D8">
              <w:rPr>
                <w:rFonts w:ascii="Cambria" w:hAnsi="Cambria" w:cs="Arial"/>
                <w:color w:val="000000"/>
                <w:sz w:val="16"/>
                <w:szCs w:val="16"/>
              </w:rPr>
              <w:t>435.4432</w:t>
            </w:r>
          </w:p>
        </w:tc>
        <w:tc>
          <w:tcPr>
            <w:tcW w:w="1064" w:type="dxa"/>
            <w:shd w:val="clear" w:color="auto" w:fill="auto"/>
            <w:vAlign w:val="center"/>
          </w:tcPr>
          <w:p w:rsidR="005A21CA" w:rsidRPr="00D336D8" w:rsidRDefault="005A21CA" w:rsidP="005A21CA">
            <w:pPr>
              <w:spacing w:after="0" w:line="240" w:lineRule="auto"/>
              <w:jc w:val="center"/>
              <w:rPr>
                <w:rFonts w:ascii="Cambria" w:hAnsi="Cambria" w:cs="Arial"/>
                <w:color w:val="000000"/>
                <w:sz w:val="16"/>
                <w:szCs w:val="16"/>
              </w:rPr>
            </w:pPr>
            <w:r w:rsidRPr="00D336D8">
              <w:rPr>
                <w:rFonts w:ascii="Cambria" w:hAnsi="Cambria" w:cs="Arial"/>
                <w:color w:val="000000"/>
                <w:sz w:val="16"/>
                <w:szCs w:val="16"/>
              </w:rPr>
              <w:t>29.4732</w:t>
            </w:r>
          </w:p>
        </w:tc>
        <w:tc>
          <w:tcPr>
            <w:tcW w:w="870" w:type="dxa"/>
            <w:vAlign w:val="center"/>
          </w:tcPr>
          <w:p w:rsidR="005A21CA" w:rsidRPr="00D336D8" w:rsidRDefault="005A21CA" w:rsidP="005A21CA">
            <w:pPr>
              <w:spacing w:after="0"/>
              <w:jc w:val="center"/>
              <w:rPr>
                <w:rFonts w:ascii="Cambria" w:hAnsi="Cambria" w:cs="Arial"/>
                <w:color w:val="000000"/>
                <w:sz w:val="16"/>
                <w:szCs w:val="16"/>
              </w:rPr>
            </w:pPr>
            <w:r w:rsidRPr="00D336D8">
              <w:rPr>
                <w:rFonts w:ascii="Cambria" w:hAnsi="Cambria" w:cs="Arial"/>
                <w:color w:val="000000"/>
                <w:sz w:val="16"/>
                <w:szCs w:val="16"/>
              </w:rPr>
              <w:t>703.7975</w:t>
            </w:r>
          </w:p>
        </w:tc>
        <w:tc>
          <w:tcPr>
            <w:tcW w:w="1064" w:type="dxa"/>
            <w:shd w:val="clear" w:color="auto" w:fill="auto"/>
            <w:vAlign w:val="center"/>
          </w:tcPr>
          <w:p w:rsidR="005A21CA" w:rsidRPr="00D336D8" w:rsidRDefault="005A21CA" w:rsidP="005A21CA">
            <w:pPr>
              <w:spacing w:after="0" w:line="240" w:lineRule="auto"/>
              <w:jc w:val="center"/>
              <w:rPr>
                <w:rFonts w:ascii="Cambria" w:hAnsi="Cambria" w:cs="Arial"/>
                <w:color w:val="000000"/>
                <w:sz w:val="16"/>
                <w:szCs w:val="16"/>
              </w:rPr>
            </w:pPr>
            <w:r w:rsidRPr="00D336D8">
              <w:rPr>
                <w:rFonts w:ascii="Cambria" w:hAnsi="Cambria" w:cs="Arial"/>
                <w:color w:val="000000"/>
                <w:sz w:val="16"/>
                <w:szCs w:val="16"/>
              </w:rPr>
              <w:t>2.3318</w:t>
            </w:r>
          </w:p>
        </w:tc>
        <w:tc>
          <w:tcPr>
            <w:tcW w:w="1050" w:type="dxa"/>
            <w:vAlign w:val="center"/>
          </w:tcPr>
          <w:p w:rsidR="005A21CA" w:rsidRPr="00D336D8" w:rsidRDefault="005A21CA" w:rsidP="005A21CA">
            <w:pPr>
              <w:spacing w:after="0"/>
              <w:jc w:val="center"/>
              <w:rPr>
                <w:rFonts w:ascii="Cambria" w:hAnsi="Cambria" w:cs="Arial"/>
                <w:color w:val="000000"/>
                <w:sz w:val="16"/>
                <w:szCs w:val="16"/>
              </w:rPr>
            </w:pPr>
            <w:r w:rsidRPr="00D336D8">
              <w:rPr>
                <w:rFonts w:ascii="Cambria" w:hAnsi="Cambria" w:cs="Arial"/>
                <w:color w:val="000000"/>
                <w:sz w:val="16"/>
                <w:szCs w:val="16"/>
              </w:rPr>
              <w:t>387.6156</w:t>
            </w:r>
          </w:p>
        </w:tc>
        <w:tc>
          <w:tcPr>
            <w:tcW w:w="1064" w:type="dxa"/>
            <w:shd w:val="clear" w:color="auto" w:fill="auto"/>
            <w:vAlign w:val="center"/>
          </w:tcPr>
          <w:p w:rsidR="005A21CA" w:rsidRPr="00D336D8" w:rsidRDefault="005A21CA" w:rsidP="005A21CA">
            <w:pPr>
              <w:spacing w:after="0" w:line="240" w:lineRule="auto"/>
              <w:jc w:val="center"/>
              <w:rPr>
                <w:rFonts w:ascii="Cambria" w:hAnsi="Cambria" w:cs="Arial"/>
                <w:color w:val="000000"/>
                <w:sz w:val="16"/>
                <w:szCs w:val="16"/>
              </w:rPr>
            </w:pPr>
            <w:r w:rsidRPr="00D336D8">
              <w:rPr>
                <w:rFonts w:ascii="Cambria" w:hAnsi="Cambria" w:cs="Arial"/>
                <w:color w:val="000000"/>
                <w:sz w:val="16"/>
                <w:szCs w:val="16"/>
              </w:rPr>
              <w:t>2.3318</w:t>
            </w:r>
          </w:p>
        </w:tc>
        <w:tc>
          <w:tcPr>
            <w:tcW w:w="906" w:type="dxa"/>
            <w:vAlign w:val="center"/>
          </w:tcPr>
          <w:p w:rsidR="005A21CA" w:rsidRPr="00D336D8" w:rsidRDefault="005A21CA" w:rsidP="005A21CA">
            <w:pPr>
              <w:spacing w:after="0"/>
              <w:jc w:val="center"/>
              <w:rPr>
                <w:rFonts w:ascii="Cambria" w:hAnsi="Cambria" w:cs="Arial"/>
                <w:color w:val="000000"/>
                <w:sz w:val="16"/>
                <w:szCs w:val="16"/>
              </w:rPr>
            </w:pPr>
            <w:r w:rsidRPr="00D336D8">
              <w:rPr>
                <w:rFonts w:ascii="Cambria" w:hAnsi="Cambria" w:cs="Arial"/>
                <w:color w:val="000000"/>
                <w:sz w:val="16"/>
                <w:szCs w:val="16"/>
              </w:rPr>
              <w:t>109.8057</w:t>
            </w:r>
          </w:p>
        </w:tc>
      </w:tr>
      <w:tr w:rsidR="005A21CA" w:rsidRPr="00D33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4"/>
        </w:trPr>
        <w:tc>
          <w:tcPr>
            <w:tcW w:w="869" w:type="dxa"/>
            <w:shd w:val="clear" w:color="auto" w:fill="auto"/>
            <w:vAlign w:val="center"/>
          </w:tcPr>
          <w:p w:rsidR="005A21CA" w:rsidRPr="00D336D8" w:rsidRDefault="005A21CA" w:rsidP="005A21CA">
            <w:pPr>
              <w:spacing w:after="0" w:line="240" w:lineRule="auto"/>
              <w:jc w:val="center"/>
              <w:rPr>
                <w:rFonts w:ascii="Cambria" w:hAnsi="Cambria" w:cs="Arial"/>
                <w:b/>
                <w:sz w:val="16"/>
                <w:szCs w:val="16"/>
              </w:rPr>
            </w:pPr>
            <w:r w:rsidRPr="00D336D8">
              <w:rPr>
                <w:rFonts w:ascii="Cambria" w:hAnsi="Cambria" w:cs="Arial"/>
                <w:b/>
                <w:sz w:val="16"/>
                <w:szCs w:val="16"/>
              </w:rPr>
              <w:t>Total</w:t>
            </w:r>
          </w:p>
        </w:tc>
        <w:tc>
          <w:tcPr>
            <w:tcW w:w="1064" w:type="dxa"/>
            <w:shd w:val="clear" w:color="auto" w:fill="auto"/>
            <w:vAlign w:val="center"/>
          </w:tcPr>
          <w:p w:rsidR="005A21CA" w:rsidRPr="00D336D8" w:rsidRDefault="005A21CA" w:rsidP="005A21CA">
            <w:pPr>
              <w:spacing w:after="0" w:line="240" w:lineRule="auto"/>
              <w:jc w:val="center"/>
              <w:rPr>
                <w:rFonts w:ascii="Cambria" w:hAnsi="Cambria" w:cs="Arial"/>
                <w:color w:val="000000"/>
                <w:sz w:val="16"/>
                <w:szCs w:val="16"/>
              </w:rPr>
            </w:pPr>
            <w:r w:rsidRPr="00D336D8">
              <w:rPr>
                <w:rFonts w:ascii="Cambria" w:hAnsi="Cambria" w:cs="Arial"/>
                <w:color w:val="000000"/>
                <w:sz w:val="16"/>
                <w:szCs w:val="16"/>
              </w:rPr>
              <w:t>4,444.4650</w:t>
            </w:r>
          </w:p>
        </w:tc>
        <w:tc>
          <w:tcPr>
            <w:tcW w:w="1050" w:type="dxa"/>
            <w:vAlign w:val="center"/>
          </w:tcPr>
          <w:p w:rsidR="005A21CA" w:rsidRPr="00D336D8" w:rsidRDefault="005A21CA" w:rsidP="005A21CA">
            <w:pPr>
              <w:spacing w:after="0"/>
              <w:jc w:val="center"/>
              <w:rPr>
                <w:rFonts w:ascii="Cambria" w:hAnsi="Cambria" w:cs="Arial"/>
                <w:color w:val="000000"/>
                <w:sz w:val="16"/>
                <w:szCs w:val="16"/>
              </w:rPr>
            </w:pPr>
            <w:r w:rsidRPr="00D336D8">
              <w:rPr>
                <w:rFonts w:ascii="Cambria" w:hAnsi="Cambria" w:cs="Arial"/>
                <w:color w:val="000000"/>
                <w:sz w:val="16"/>
                <w:szCs w:val="16"/>
              </w:rPr>
              <w:t>626.4171</w:t>
            </w:r>
          </w:p>
        </w:tc>
        <w:tc>
          <w:tcPr>
            <w:tcW w:w="1064" w:type="dxa"/>
            <w:shd w:val="clear" w:color="auto" w:fill="auto"/>
            <w:vAlign w:val="center"/>
          </w:tcPr>
          <w:p w:rsidR="005A21CA" w:rsidRPr="00D336D8" w:rsidRDefault="005A21CA" w:rsidP="005A21CA">
            <w:pPr>
              <w:spacing w:after="0" w:line="240" w:lineRule="auto"/>
              <w:jc w:val="center"/>
              <w:rPr>
                <w:rFonts w:ascii="Cambria" w:hAnsi="Cambria" w:cs="Arial"/>
                <w:color w:val="000000"/>
                <w:sz w:val="16"/>
                <w:szCs w:val="16"/>
              </w:rPr>
            </w:pPr>
            <w:r w:rsidRPr="00D336D8">
              <w:rPr>
                <w:rFonts w:ascii="Cambria" w:hAnsi="Cambria" w:cs="Arial"/>
                <w:color w:val="000000"/>
                <w:sz w:val="16"/>
                <w:szCs w:val="16"/>
              </w:rPr>
              <w:t>861.3779</w:t>
            </w:r>
          </w:p>
        </w:tc>
        <w:tc>
          <w:tcPr>
            <w:tcW w:w="870" w:type="dxa"/>
            <w:vAlign w:val="center"/>
          </w:tcPr>
          <w:p w:rsidR="005A21CA" w:rsidRPr="00D336D8" w:rsidRDefault="005A21CA" w:rsidP="005A21CA">
            <w:pPr>
              <w:spacing w:after="0"/>
              <w:jc w:val="center"/>
              <w:rPr>
                <w:rFonts w:ascii="Cambria" w:hAnsi="Cambria" w:cs="Arial"/>
                <w:color w:val="000000"/>
                <w:sz w:val="16"/>
                <w:szCs w:val="16"/>
              </w:rPr>
            </w:pPr>
            <w:r w:rsidRPr="00D336D8">
              <w:rPr>
                <w:rFonts w:ascii="Cambria" w:hAnsi="Cambria" w:cs="Arial"/>
                <w:color w:val="000000"/>
                <w:sz w:val="16"/>
                <w:szCs w:val="16"/>
              </w:rPr>
              <w:t>731.4355</w:t>
            </w:r>
          </w:p>
        </w:tc>
        <w:tc>
          <w:tcPr>
            <w:tcW w:w="1064" w:type="dxa"/>
            <w:shd w:val="clear" w:color="auto" w:fill="auto"/>
            <w:vAlign w:val="center"/>
          </w:tcPr>
          <w:p w:rsidR="005A21CA" w:rsidRPr="00D336D8" w:rsidRDefault="005A21CA" w:rsidP="005A21CA">
            <w:pPr>
              <w:spacing w:after="0" w:line="240" w:lineRule="auto"/>
              <w:jc w:val="center"/>
              <w:rPr>
                <w:rFonts w:ascii="Cambria" w:hAnsi="Cambria" w:cs="Arial"/>
                <w:color w:val="000000"/>
                <w:sz w:val="16"/>
                <w:szCs w:val="16"/>
              </w:rPr>
            </w:pPr>
            <w:r w:rsidRPr="00D336D8">
              <w:rPr>
                <w:rFonts w:ascii="Cambria" w:hAnsi="Cambria" w:cs="Arial"/>
                <w:color w:val="000000"/>
                <w:sz w:val="16"/>
                <w:szCs w:val="16"/>
              </w:rPr>
              <w:t>1,088.3341</w:t>
            </w:r>
          </w:p>
        </w:tc>
        <w:tc>
          <w:tcPr>
            <w:tcW w:w="1050" w:type="dxa"/>
            <w:vAlign w:val="center"/>
          </w:tcPr>
          <w:p w:rsidR="005A21CA" w:rsidRPr="00D336D8" w:rsidRDefault="005A21CA" w:rsidP="005A21CA">
            <w:pPr>
              <w:spacing w:after="0"/>
              <w:jc w:val="center"/>
              <w:rPr>
                <w:rFonts w:ascii="Cambria" w:hAnsi="Cambria" w:cs="Arial"/>
                <w:color w:val="000000"/>
                <w:sz w:val="16"/>
                <w:szCs w:val="16"/>
              </w:rPr>
            </w:pPr>
            <w:r w:rsidRPr="00D336D8">
              <w:rPr>
                <w:rFonts w:ascii="Cambria" w:hAnsi="Cambria" w:cs="Arial"/>
                <w:color w:val="000000"/>
                <w:sz w:val="16"/>
                <w:szCs w:val="16"/>
              </w:rPr>
              <w:t>393.9188</w:t>
            </w:r>
          </w:p>
        </w:tc>
        <w:tc>
          <w:tcPr>
            <w:tcW w:w="1064" w:type="dxa"/>
            <w:shd w:val="clear" w:color="auto" w:fill="auto"/>
            <w:vAlign w:val="center"/>
          </w:tcPr>
          <w:p w:rsidR="005A21CA" w:rsidRPr="00D336D8" w:rsidRDefault="005A21CA" w:rsidP="005A21CA">
            <w:pPr>
              <w:spacing w:after="0" w:line="240" w:lineRule="auto"/>
              <w:jc w:val="center"/>
              <w:rPr>
                <w:rFonts w:ascii="Cambria" w:hAnsi="Cambria" w:cs="Arial"/>
                <w:color w:val="000000"/>
                <w:sz w:val="16"/>
                <w:szCs w:val="16"/>
              </w:rPr>
            </w:pPr>
            <w:r w:rsidRPr="00D336D8">
              <w:rPr>
                <w:rFonts w:ascii="Cambria" w:hAnsi="Cambria" w:cs="Arial"/>
                <w:color w:val="000000"/>
                <w:sz w:val="16"/>
                <w:szCs w:val="16"/>
              </w:rPr>
              <w:t>773.3494</w:t>
            </w:r>
          </w:p>
        </w:tc>
        <w:tc>
          <w:tcPr>
            <w:tcW w:w="906" w:type="dxa"/>
            <w:vAlign w:val="center"/>
          </w:tcPr>
          <w:p w:rsidR="005A21CA" w:rsidRPr="00D336D8" w:rsidRDefault="005A21CA" w:rsidP="005A21CA">
            <w:pPr>
              <w:spacing w:after="0"/>
              <w:jc w:val="center"/>
              <w:rPr>
                <w:rFonts w:ascii="Cambria" w:hAnsi="Cambria" w:cs="Arial"/>
                <w:color w:val="000000"/>
                <w:sz w:val="16"/>
                <w:szCs w:val="16"/>
              </w:rPr>
            </w:pPr>
            <w:r w:rsidRPr="00D336D8">
              <w:rPr>
                <w:rFonts w:ascii="Cambria" w:hAnsi="Cambria" w:cs="Arial"/>
                <w:color w:val="000000"/>
                <w:sz w:val="16"/>
                <w:szCs w:val="16"/>
              </w:rPr>
              <w:t>116.0739</w:t>
            </w:r>
          </w:p>
        </w:tc>
      </w:tr>
      <w:tr w:rsidR="005A21CA" w:rsidRPr="00D33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60"/>
        </w:trPr>
        <w:tc>
          <w:tcPr>
            <w:tcW w:w="9001" w:type="dxa"/>
            <w:gridSpan w:val="9"/>
            <w:shd w:val="clear" w:color="000000" w:fill="C0C0C0"/>
            <w:vAlign w:val="center"/>
          </w:tcPr>
          <w:p w:rsidR="005A21CA" w:rsidRPr="00D336D8" w:rsidRDefault="005A21CA" w:rsidP="005A21CA">
            <w:pPr>
              <w:spacing w:after="0" w:line="240" w:lineRule="auto"/>
              <w:jc w:val="center"/>
              <w:rPr>
                <w:rFonts w:ascii="Cambria" w:hAnsi="Cambria" w:cs="Arial"/>
                <w:color w:val="000000"/>
                <w:sz w:val="16"/>
                <w:szCs w:val="16"/>
              </w:rPr>
            </w:pPr>
            <w:r w:rsidRPr="00D336D8">
              <w:rPr>
                <w:rFonts w:ascii="Cambria" w:hAnsi="Cambria" w:cs="Arial"/>
                <w:color w:val="000000"/>
                <w:sz w:val="16"/>
                <w:szCs w:val="16"/>
              </w:rPr>
              <w:t>Winter (maximum lbs/day)</w:t>
            </w:r>
          </w:p>
        </w:tc>
      </w:tr>
      <w:tr w:rsidR="005A21CA" w:rsidRPr="00D33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4"/>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5A21CA" w:rsidRPr="00D336D8" w:rsidRDefault="005A21CA" w:rsidP="005A21CA">
            <w:pPr>
              <w:spacing w:after="0" w:line="240" w:lineRule="auto"/>
              <w:jc w:val="center"/>
              <w:rPr>
                <w:rFonts w:ascii="Cambria" w:hAnsi="Cambria" w:cs="Arial"/>
                <w:b/>
                <w:sz w:val="16"/>
                <w:szCs w:val="16"/>
              </w:rPr>
            </w:pPr>
            <w:r w:rsidRPr="00D336D8">
              <w:rPr>
                <w:rFonts w:ascii="Cambria" w:hAnsi="Cambria" w:cs="Arial"/>
                <w:b/>
                <w:sz w:val="16"/>
                <w:szCs w:val="16"/>
              </w:rPr>
              <w:t>Area</w:t>
            </w: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5A21CA" w:rsidRPr="00D336D8" w:rsidRDefault="005A21CA" w:rsidP="005A21CA">
            <w:pPr>
              <w:spacing w:after="0" w:line="240" w:lineRule="auto"/>
              <w:jc w:val="center"/>
              <w:rPr>
                <w:rFonts w:ascii="Cambria" w:hAnsi="Cambria" w:cs="Arial"/>
                <w:color w:val="000000"/>
                <w:sz w:val="16"/>
                <w:szCs w:val="16"/>
              </w:rPr>
            </w:pPr>
            <w:r w:rsidRPr="00D336D8">
              <w:rPr>
                <w:rFonts w:ascii="Cambria" w:hAnsi="Cambria" w:cs="Arial"/>
                <w:color w:val="000000"/>
                <w:sz w:val="16"/>
                <w:szCs w:val="16"/>
              </w:rPr>
              <w:t>3,990.7129</w:t>
            </w:r>
          </w:p>
        </w:tc>
        <w:tc>
          <w:tcPr>
            <w:tcW w:w="1050" w:type="dxa"/>
            <w:tcBorders>
              <w:top w:val="single" w:sz="4" w:space="0" w:color="auto"/>
              <w:left w:val="single" w:sz="4" w:space="0" w:color="auto"/>
              <w:bottom w:val="single" w:sz="4" w:space="0" w:color="auto"/>
              <w:right w:val="single" w:sz="4" w:space="0" w:color="auto"/>
            </w:tcBorders>
          </w:tcPr>
          <w:p w:rsidR="005A21CA" w:rsidRPr="00D336D8" w:rsidRDefault="005A21CA" w:rsidP="005A21CA">
            <w:pPr>
              <w:spacing w:after="0" w:line="240" w:lineRule="auto"/>
              <w:jc w:val="center"/>
              <w:rPr>
                <w:rFonts w:ascii="Cambria" w:hAnsi="Cambria" w:cs="Arial"/>
                <w:color w:val="000000"/>
                <w:sz w:val="16"/>
                <w:szCs w:val="16"/>
              </w:rPr>
            </w:pPr>
            <w:r w:rsidRPr="00D336D8">
              <w:rPr>
                <w:rFonts w:ascii="Cambria" w:hAnsi="Cambria" w:cs="Arial"/>
                <w:color w:val="000000"/>
                <w:sz w:val="16"/>
                <w:szCs w:val="16"/>
              </w:rPr>
              <w:t>188.0493</w:t>
            </w: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5A21CA" w:rsidRPr="00D336D8" w:rsidRDefault="005A21CA" w:rsidP="005A21CA">
            <w:pPr>
              <w:spacing w:after="0" w:line="240" w:lineRule="auto"/>
              <w:jc w:val="center"/>
              <w:rPr>
                <w:rFonts w:ascii="Cambria" w:hAnsi="Cambria" w:cs="Arial"/>
                <w:color w:val="000000"/>
                <w:sz w:val="16"/>
                <w:szCs w:val="16"/>
              </w:rPr>
            </w:pPr>
            <w:r w:rsidRPr="00D336D8">
              <w:rPr>
                <w:rFonts w:ascii="Cambria" w:hAnsi="Cambria" w:cs="Arial"/>
                <w:color w:val="000000"/>
                <w:sz w:val="16"/>
                <w:szCs w:val="16"/>
              </w:rPr>
              <w:t>52.4006</w:t>
            </w:r>
          </w:p>
        </w:tc>
        <w:tc>
          <w:tcPr>
            <w:tcW w:w="870" w:type="dxa"/>
            <w:tcBorders>
              <w:top w:val="single" w:sz="4" w:space="0" w:color="auto"/>
              <w:left w:val="single" w:sz="4" w:space="0" w:color="auto"/>
              <w:bottom w:val="single" w:sz="4" w:space="0" w:color="auto"/>
              <w:right w:val="single" w:sz="4" w:space="0" w:color="auto"/>
            </w:tcBorders>
          </w:tcPr>
          <w:p w:rsidR="005A21CA" w:rsidRPr="00D336D8" w:rsidRDefault="005A21CA" w:rsidP="005A21CA">
            <w:pPr>
              <w:spacing w:after="0" w:line="240" w:lineRule="auto"/>
              <w:jc w:val="center"/>
              <w:rPr>
                <w:rFonts w:ascii="Cambria" w:hAnsi="Cambria" w:cs="Arial"/>
                <w:color w:val="000000"/>
                <w:sz w:val="16"/>
                <w:szCs w:val="16"/>
              </w:rPr>
            </w:pPr>
            <w:r w:rsidRPr="00D336D8">
              <w:rPr>
                <w:rFonts w:ascii="Cambria" w:hAnsi="Cambria" w:cs="Arial"/>
                <w:color w:val="000000"/>
                <w:sz w:val="16"/>
                <w:szCs w:val="16"/>
              </w:rPr>
              <w:t>2.1077</w:t>
            </w: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5A21CA" w:rsidRPr="00D336D8" w:rsidRDefault="005A21CA" w:rsidP="005A21CA">
            <w:pPr>
              <w:spacing w:after="0" w:line="240" w:lineRule="auto"/>
              <w:jc w:val="center"/>
              <w:rPr>
                <w:rFonts w:ascii="Cambria" w:hAnsi="Cambria" w:cs="Arial"/>
                <w:color w:val="000000"/>
                <w:sz w:val="16"/>
                <w:szCs w:val="16"/>
              </w:rPr>
            </w:pPr>
            <w:r w:rsidRPr="00D336D8">
              <w:rPr>
                <w:rFonts w:ascii="Cambria" w:hAnsi="Cambria" w:cs="Arial"/>
                <w:color w:val="000000"/>
                <w:sz w:val="16"/>
                <w:szCs w:val="16"/>
              </w:rPr>
              <w:t>646.6580</w:t>
            </w:r>
          </w:p>
        </w:tc>
        <w:tc>
          <w:tcPr>
            <w:tcW w:w="1050" w:type="dxa"/>
            <w:tcBorders>
              <w:top w:val="single" w:sz="4" w:space="0" w:color="auto"/>
              <w:left w:val="single" w:sz="4" w:space="0" w:color="auto"/>
              <w:bottom w:val="single" w:sz="4" w:space="0" w:color="auto"/>
              <w:right w:val="single" w:sz="4" w:space="0" w:color="auto"/>
            </w:tcBorders>
          </w:tcPr>
          <w:p w:rsidR="005A21CA" w:rsidRPr="00D336D8" w:rsidRDefault="005A21CA" w:rsidP="005A21CA">
            <w:pPr>
              <w:spacing w:after="0" w:line="240" w:lineRule="auto"/>
              <w:jc w:val="center"/>
              <w:rPr>
                <w:rFonts w:ascii="Cambria" w:hAnsi="Cambria" w:cs="Arial"/>
                <w:color w:val="000000"/>
                <w:sz w:val="16"/>
                <w:szCs w:val="16"/>
              </w:rPr>
            </w:pPr>
            <w:r w:rsidRPr="00D336D8">
              <w:rPr>
                <w:rFonts w:ascii="Cambria" w:hAnsi="Cambria" w:cs="Arial"/>
                <w:color w:val="000000"/>
                <w:sz w:val="16"/>
                <w:szCs w:val="16"/>
              </w:rPr>
              <w:t>4.2826</w:t>
            </w: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5A21CA" w:rsidRPr="00D336D8" w:rsidRDefault="005A21CA" w:rsidP="005A21CA">
            <w:pPr>
              <w:spacing w:after="0" w:line="240" w:lineRule="auto"/>
              <w:jc w:val="center"/>
              <w:rPr>
                <w:rFonts w:ascii="Cambria" w:hAnsi="Cambria" w:cs="Arial"/>
                <w:color w:val="000000"/>
                <w:sz w:val="16"/>
                <w:szCs w:val="16"/>
              </w:rPr>
            </w:pPr>
            <w:r w:rsidRPr="00D336D8">
              <w:rPr>
                <w:rFonts w:ascii="Cambria" w:hAnsi="Cambria" w:cs="Arial"/>
                <w:color w:val="000000"/>
                <w:sz w:val="16"/>
                <w:szCs w:val="16"/>
              </w:rPr>
              <w:t>646.6387</w:t>
            </w:r>
          </w:p>
        </w:tc>
        <w:tc>
          <w:tcPr>
            <w:tcW w:w="906" w:type="dxa"/>
            <w:tcBorders>
              <w:top w:val="single" w:sz="4" w:space="0" w:color="auto"/>
              <w:left w:val="single" w:sz="4" w:space="0" w:color="auto"/>
              <w:bottom w:val="single" w:sz="4" w:space="0" w:color="auto"/>
              <w:right w:val="single" w:sz="4" w:space="0" w:color="auto"/>
            </w:tcBorders>
          </w:tcPr>
          <w:p w:rsidR="005A21CA" w:rsidRPr="00D336D8" w:rsidRDefault="005A21CA" w:rsidP="005A21CA">
            <w:pPr>
              <w:spacing w:after="0" w:line="240" w:lineRule="auto"/>
              <w:jc w:val="center"/>
              <w:rPr>
                <w:rFonts w:ascii="Cambria" w:hAnsi="Cambria" w:cs="Arial"/>
                <w:color w:val="000000"/>
                <w:sz w:val="16"/>
                <w:szCs w:val="16"/>
              </w:rPr>
            </w:pPr>
            <w:r w:rsidRPr="00D336D8">
              <w:rPr>
                <w:rFonts w:ascii="Cambria" w:hAnsi="Cambria" w:cs="Arial"/>
                <w:color w:val="000000"/>
                <w:sz w:val="16"/>
                <w:szCs w:val="16"/>
              </w:rPr>
              <w:t>4.2476</w:t>
            </w:r>
          </w:p>
        </w:tc>
      </w:tr>
      <w:tr w:rsidR="005A21CA" w:rsidRPr="00D33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4"/>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5A21CA" w:rsidRPr="00D336D8" w:rsidRDefault="005A21CA" w:rsidP="005A21CA">
            <w:pPr>
              <w:spacing w:after="0" w:line="240" w:lineRule="auto"/>
              <w:jc w:val="center"/>
              <w:rPr>
                <w:rFonts w:ascii="Cambria" w:hAnsi="Cambria" w:cs="Arial"/>
                <w:b/>
                <w:sz w:val="16"/>
                <w:szCs w:val="16"/>
              </w:rPr>
            </w:pPr>
            <w:r w:rsidRPr="00D336D8">
              <w:rPr>
                <w:rFonts w:ascii="Cambria" w:hAnsi="Cambria" w:cs="Arial"/>
                <w:b/>
                <w:sz w:val="16"/>
                <w:szCs w:val="16"/>
              </w:rPr>
              <w:t>Energy</w:t>
            </w: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5A21CA" w:rsidRPr="00D336D8" w:rsidRDefault="005A21CA" w:rsidP="005A21CA">
            <w:pPr>
              <w:spacing w:after="0" w:line="240" w:lineRule="auto"/>
              <w:jc w:val="center"/>
              <w:rPr>
                <w:rFonts w:ascii="Cambria" w:hAnsi="Cambria" w:cs="Arial"/>
                <w:color w:val="000000"/>
                <w:sz w:val="16"/>
                <w:szCs w:val="16"/>
              </w:rPr>
            </w:pPr>
            <w:r w:rsidRPr="00D336D8">
              <w:rPr>
                <w:rFonts w:ascii="Cambria" w:hAnsi="Cambria" w:cs="Arial"/>
                <w:color w:val="000000"/>
                <w:sz w:val="16"/>
                <w:szCs w:val="16"/>
              </w:rPr>
              <w:t>3.3750</w:t>
            </w:r>
          </w:p>
        </w:tc>
        <w:tc>
          <w:tcPr>
            <w:tcW w:w="1050" w:type="dxa"/>
            <w:tcBorders>
              <w:top w:val="single" w:sz="4" w:space="0" w:color="auto"/>
              <w:left w:val="single" w:sz="4" w:space="0" w:color="auto"/>
              <w:bottom w:val="single" w:sz="4" w:space="0" w:color="auto"/>
              <w:right w:val="single" w:sz="4" w:space="0" w:color="auto"/>
            </w:tcBorders>
          </w:tcPr>
          <w:p w:rsidR="005A21CA" w:rsidRPr="00D336D8" w:rsidRDefault="005A21CA" w:rsidP="005A21CA">
            <w:pPr>
              <w:spacing w:after="0" w:line="240" w:lineRule="auto"/>
              <w:jc w:val="center"/>
              <w:rPr>
                <w:rFonts w:ascii="Cambria" w:hAnsi="Cambria" w:cs="Arial"/>
                <w:color w:val="000000"/>
                <w:sz w:val="16"/>
                <w:szCs w:val="16"/>
              </w:rPr>
            </w:pPr>
            <w:r w:rsidRPr="00D336D8">
              <w:rPr>
                <w:rFonts w:ascii="Cambria" w:hAnsi="Cambria" w:cs="Arial"/>
                <w:color w:val="000000"/>
                <w:sz w:val="16"/>
                <w:szCs w:val="16"/>
              </w:rPr>
              <w:t>2.9246</w:t>
            </w: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5A21CA" w:rsidRPr="00D336D8" w:rsidRDefault="005A21CA" w:rsidP="005A21CA">
            <w:pPr>
              <w:spacing w:after="0" w:line="240" w:lineRule="auto"/>
              <w:jc w:val="center"/>
              <w:rPr>
                <w:rFonts w:ascii="Cambria" w:hAnsi="Cambria" w:cs="Arial"/>
                <w:color w:val="000000"/>
                <w:sz w:val="16"/>
                <w:szCs w:val="16"/>
              </w:rPr>
            </w:pPr>
            <w:r w:rsidRPr="00D336D8">
              <w:rPr>
                <w:rFonts w:ascii="Cambria" w:hAnsi="Cambria" w:cs="Arial"/>
                <w:color w:val="000000"/>
                <w:sz w:val="16"/>
                <w:szCs w:val="16"/>
              </w:rPr>
              <w:t>29.4732</w:t>
            </w:r>
          </w:p>
        </w:tc>
        <w:tc>
          <w:tcPr>
            <w:tcW w:w="870" w:type="dxa"/>
            <w:tcBorders>
              <w:top w:val="single" w:sz="4" w:space="0" w:color="auto"/>
              <w:left w:val="single" w:sz="4" w:space="0" w:color="auto"/>
              <w:bottom w:val="single" w:sz="4" w:space="0" w:color="auto"/>
              <w:right w:val="single" w:sz="4" w:space="0" w:color="auto"/>
            </w:tcBorders>
          </w:tcPr>
          <w:p w:rsidR="005A21CA" w:rsidRPr="00D336D8" w:rsidRDefault="005A21CA" w:rsidP="005A21CA">
            <w:pPr>
              <w:spacing w:after="0" w:line="240" w:lineRule="auto"/>
              <w:jc w:val="center"/>
              <w:rPr>
                <w:rFonts w:ascii="Cambria" w:hAnsi="Cambria" w:cs="Arial"/>
                <w:color w:val="000000"/>
                <w:sz w:val="16"/>
                <w:szCs w:val="16"/>
              </w:rPr>
            </w:pPr>
            <w:r w:rsidRPr="00D336D8">
              <w:rPr>
                <w:rFonts w:ascii="Cambria" w:hAnsi="Cambria" w:cs="Arial"/>
                <w:color w:val="000000"/>
                <w:sz w:val="16"/>
                <w:szCs w:val="16"/>
              </w:rPr>
              <w:t>25.5303</w:t>
            </w: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5A21CA" w:rsidRPr="00D336D8" w:rsidRDefault="005A21CA" w:rsidP="005A21CA">
            <w:pPr>
              <w:spacing w:after="0" w:line="240" w:lineRule="auto"/>
              <w:jc w:val="center"/>
              <w:rPr>
                <w:rFonts w:ascii="Cambria" w:hAnsi="Cambria" w:cs="Arial"/>
                <w:color w:val="000000"/>
                <w:sz w:val="16"/>
                <w:szCs w:val="16"/>
              </w:rPr>
            </w:pPr>
            <w:r w:rsidRPr="00D336D8">
              <w:rPr>
                <w:rFonts w:ascii="Cambria" w:hAnsi="Cambria" w:cs="Arial"/>
                <w:color w:val="000000"/>
                <w:sz w:val="16"/>
                <w:szCs w:val="16"/>
              </w:rPr>
              <w:t>2.3318</w:t>
            </w:r>
          </w:p>
        </w:tc>
        <w:tc>
          <w:tcPr>
            <w:tcW w:w="1050" w:type="dxa"/>
            <w:tcBorders>
              <w:top w:val="single" w:sz="4" w:space="0" w:color="auto"/>
              <w:left w:val="single" w:sz="4" w:space="0" w:color="auto"/>
              <w:bottom w:val="single" w:sz="4" w:space="0" w:color="auto"/>
              <w:right w:val="single" w:sz="4" w:space="0" w:color="auto"/>
            </w:tcBorders>
          </w:tcPr>
          <w:p w:rsidR="005A21CA" w:rsidRPr="00D336D8" w:rsidRDefault="005A21CA" w:rsidP="005A21CA">
            <w:pPr>
              <w:spacing w:after="0" w:line="240" w:lineRule="auto"/>
              <w:jc w:val="center"/>
              <w:rPr>
                <w:rFonts w:ascii="Cambria" w:hAnsi="Cambria" w:cs="Arial"/>
                <w:color w:val="000000"/>
                <w:sz w:val="16"/>
                <w:szCs w:val="16"/>
              </w:rPr>
            </w:pPr>
            <w:r w:rsidRPr="00D336D8">
              <w:rPr>
                <w:rFonts w:ascii="Cambria" w:hAnsi="Cambria" w:cs="Arial"/>
                <w:color w:val="000000"/>
                <w:sz w:val="16"/>
                <w:szCs w:val="16"/>
              </w:rPr>
              <w:t>2.0207</w:t>
            </w: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5A21CA" w:rsidRPr="00D336D8" w:rsidRDefault="005A21CA" w:rsidP="005A21CA">
            <w:pPr>
              <w:spacing w:after="0" w:line="240" w:lineRule="auto"/>
              <w:jc w:val="center"/>
              <w:rPr>
                <w:rFonts w:ascii="Cambria" w:hAnsi="Cambria" w:cs="Arial"/>
                <w:color w:val="000000"/>
                <w:sz w:val="16"/>
                <w:szCs w:val="16"/>
              </w:rPr>
            </w:pPr>
            <w:r w:rsidRPr="00D336D8">
              <w:rPr>
                <w:rFonts w:ascii="Cambria" w:hAnsi="Cambria" w:cs="Arial"/>
                <w:color w:val="000000"/>
                <w:sz w:val="16"/>
                <w:szCs w:val="16"/>
              </w:rPr>
              <w:t>2.3318</w:t>
            </w:r>
          </w:p>
        </w:tc>
        <w:tc>
          <w:tcPr>
            <w:tcW w:w="906" w:type="dxa"/>
            <w:tcBorders>
              <w:top w:val="single" w:sz="4" w:space="0" w:color="auto"/>
              <w:left w:val="single" w:sz="4" w:space="0" w:color="auto"/>
              <w:bottom w:val="single" w:sz="4" w:space="0" w:color="auto"/>
              <w:right w:val="single" w:sz="4" w:space="0" w:color="auto"/>
            </w:tcBorders>
          </w:tcPr>
          <w:p w:rsidR="005A21CA" w:rsidRPr="00D336D8" w:rsidRDefault="005A21CA" w:rsidP="005A21CA">
            <w:pPr>
              <w:spacing w:after="0" w:line="240" w:lineRule="auto"/>
              <w:jc w:val="center"/>
              <w:rPr>
                <w:rFonts w:ascii="Cambria" w:hAnsi="Cambria" w:cs="Arial"/>
                <w:color w:val="000000"/>
                <w:sz w:val="16"/>
                <w:szCs w:val="16"/>
              </w:rPr>
            </w:pPr>
            <w:r w:rsidRPr="00D336D8">
              <w:rPr>
                <w:rFonts w:ascii="Cambria" w:hAnsi="Cambria" w:cs="Arial"/>
                <w:color w:val="000000"/>
                <w:sz w:val="16"/>
                <w:szCs w:val="16"/>
              </w:rPr>
              <w:t>2.0207</w:t>
            </w:r>
          </w:p>
        </w:tc>
      </w:tr>
      <w:tr w:rsidR="005A21CA" w:rsidRPr="00EC0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4"/>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5A21CA" w:rsidRPr="00EC0128" w:rsidRDefault="005A21CA" w:rsidP="005A21CA">
            <w:pPr>
              <w:spacing w:after="0" w:line="240" w:lineRule="auto"/>
              <w:jc w:val="center"/>
              <w:rPr>
                <w:rFonts w:ascii="Cambria" w:hAnsi="Cambria" w:cs="Arial"/>
                <w:b/>
                <w:sz w:val="16"/>
                <w:szCs w:val="16"/>
              </w:rPr>
            </w:pPr>
            <w:r w:rsidRPr="00EC0128">
              <w:rPr>
                <w:rFonts w:ascii="Cambria" w:hAnsi="Cambria" w:cs="Arial"/>
                <w:b/>
                <w:sz w:val="16"/>
                <w:szCs w:val="16"/>
              </w:rPr>
              <w:t>Mobile</w:t>
            </w: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5A21CA" w:rsidRPr="00EC0128" w:rsidRDefault="005A21CA" w:rsidP="005A21CA">
            <w:pPr>
              <w:spacing w:after="0" w:line="240" w:lineRule="auto"/>
              <w:jc w:val="center"/>
              <w:rPr>
                <w:rFonts w:ascii="Cambria" w:hAnsi="Cambria" w:cs="Arial"/>
                <w:color w:val="000000"/>
                <w:sz w:val="16"/>
                <w:szCs w:val="16"/>
              </w:rPr>
            </w:pPr>
            <w:r w:rsidRPr="00EC0128">
              <w:rPr>
                <w:rFonts w:ascii="Cambria" w:hAnsi="Cambria" w:cs="Arial"/>
                <w:color w:val="000000"/>
                <w:sz w:val="16"/>
                <w:szCs w:val="16"/>
              </w:rPr>
              <w:t>474.0147</w:t>
            </w:r>
          </w:p>
        </w:tc>
        <w:tc>
          <w:tcPr>
            <w:tcW w:w="1050" w:type="dxa"/>
            <w:tcBorders>
              <w:top w:val="single" w:sz="4" w:space="0" w:color="auto"/>
              <w:left w:val="single" w:sz="4" w:space="0" w:color="auto"/>
              <w:bottom w:val="single" w:sz="4" w:space="0" w:color="auto"/>
              <w:right w:val="single" w:sz="4" w:space="0" w:color="auto"/>
            </w:tcBorders>
          </w:tcPr>
          <w:p w:rsidR="005A21CA" w:rsidRPr="00EC0128" w:rsidRDefault="005A21CA" w:rsidP="005A21CA">
            <w:pPr>
              <w:spacing w:after="0" w:line="240" w:lineRule="auto"/>
              <w:jc w:val="center"/>
              <w:rPr>
                <w:rFonts w:ascii="Cambria" w:hAnsi="Cambria" w:cs="Arial"/>
                <w:color w:val="000000"/>
                <w:sz w:val="16"/>
                <w:szCs w:val="16"/>
              </w:rPr>
            </w:pPr>
            <w:r w:rsidRPr="00EC0128">
              <w:rPr>
                <w:rFonts w:ascii="Cambria" w:hAnsi="Cambria" w:cs="Arial"/>
                <w:color w:val="000000"/>
                <w:sz w:val="16"/>
                <w:szCs w:val="16"/>
              </w:rPr>
              <w:t>458.8065</w:t>
            </w: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5A21CA" w:rsidRPr="00EC0128" w:rsidRDefault="005A21CA" w:rsidP="005A21CA">
            <w:pPr>
              <w:spacing w:after="0" w:line="240" w:lineRule="auto"/>
              <w:jc w:val="center"/>
              <w:rPr>
                <w:rFonts w:ascii="Cambria" w:hAnsi="Cambria" w:cs="Arial"/>
                <w:color w:val="000000"/>
                <w:sz w:val="16"/>
                <w:szCs w:val="16"/>
              </w:rPr>
            </w:pPr>
            <w:r w:rsidRPr="00EC0128">
              <w:rPr>
                <w:rFonts w:ascii="Cambria" w:hAnsi="Cambria" w:cs="Arial"/>
                <w:color w:val="000000"/>
                <w:sz w:val="16"/>
                <w:szCs w:val="16"/>
              </w:rPr>
              <w:t>875.8340</w:t>
            </w:r>
          </w:p>
        </w:tc>
        <w:tc>
          <w:tcPr>
            <w:tcW w:w="870" w:type="dxa"/>
            <w:tcBorders>
              <w:top w:val="single" w:sz="4" w:space="0" w:color="auto"/>
              <w:left w:val="single" w:sz="4" w:space="0" w:color="auto"/>
              <w:bottom w:val="single" w:sz="4" w:space="0" w:color="auto"/>
              <w:right w:val="single" w:sz="4" w:space="0" w:color="auto"/>
            </w:tcBorders>
          </w:tcPr>
          <w:p w:rsidR="005A21CA" w:rsidRPr="00EC0128" w:rsidRDefault="005A21CA" w:rsidP="005A21CA">
            <w:pPr>
              <w:spacing w:after="0" w:line="240" w:lineRule="auto"/>
              <w:jc w:val="center"/>
              <w:rPr>
                <w:rFonts w:ascii="Cambria" w:hAnsi="Cambria" w:cs="Arial"/>
                <w:color w:val="000000"/>
                <w:sz w:val="16"/>
                <w:szCs w:val="16"/>
              </w:rPr>
            </w:pPr>
            <w:r w:rsidRPr="00EC0128">
              <w:rPr>
                <w:rFonts w:ascii="Cambria" w:hAnsi="Cambria" w:cs="Arial"/>
                <w:color w:val="000000"/>
                <w:sz w:val="16"/>
                <w:szCs w:val="16"/>
              </w:rPr>
              <w:t>790.4065</w:t>
            </w: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5A21CA" w:rsidRPr="00EC0128" w:rsidRDefault="005A21CA" w:rsidP="005A21CA">
            <w:pPr>
              <w:spacing w:after="0" w:line="240" w:lineRule="auto"/>
              <w:jc w:val="center"/>
              <w:rPr>
                <w:rFonts w:ascii="Cambria" w:hAnsi="Cambria" w:cs="Arial"/>
                <w:color w:val="000000"/>
                <w:sz w:val="16"/>
                <w:szCs w:val="16"/>
              </w:rPr>
            </w:pPr>
            <w:r w:rsidRPr="00EC0128">
              <w:rPr>
                <w:rFonts w:ascii="Cambria" w:hAnsi="Cambria" w:cs="Arial"/>
                <w:color w:val="000000"/>
                <w:sz w:val="16"/>
                <w:szCs w:val="16"/>
              </w:rPr>
              <w:t>439.4162</w:t>
            </w:r>
          </w:p>
        </w:tc>
        <w:tc>
          <w:tcPr>
            <w:tcW w:w="1050" w:type="dxa"/>
            <w:tcBorders>
              <w:top w:val="single" w:sz="4" w:space="0" w:color="auto"/>
              <w:left w:val="single" w:sz="4" w:space="0" w:color="auto"/>
              <w:bottom w:val="single" w:sz="4" w:space="0" w:color="auto"/>
              <w:right w:val="single" w:sz="4" w:space="0" w:color="auto"/>
            </w:tcBorders>
          </w:tcPr>
          <w:p w:rsidR="005A21CA" w:rsidRPr="00EC0128" w:rsidRDefault="005A21CA" w:rsidP="005A21CA">
            <w:pPr>
              <w:spacing w:after="0" w:line="240" w:lineRule="auto"/>
              <w:jc w:val="center"/>
              <w:rPr>
                <w:rFonts w:ascii="Cambria" w:hAnsi="Cambria" w:cs="Arial"/>
                <w:color w:val="000000"/>
                <w:sz w:val="16"/>
                <w:szCs w:val="16"/>
              </w:rPr>
            </w:pPr>
            <w:r w:rsidRPr="00EC0128">
              <w:rPr>
                <w:rFonts w:ascii="Cambria" w:hAnsi="Cambria" w:cs="Arial"/>
                <w:color w:val="000000"/>
                <w:sz w:val="16"/>
                <w:szCs w:val="16"/>
              </w:rPr>
              <w:t>387.6875</w:t>
            </w: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5A21CA" w:rsidRPr="00EC0128" w:rsidRDefault="005A21CA" w:rsidP="005A21CA">
            <w:pPr>
              <w:spacing w:after="0" w:line="240" w:lineRule="auto"/>
              <w:jc w:val="center"/>
              <w:rPr>
                <w:rFonts w:ascii="Cambria" w:hAnsi="Cambria" w:cs="Arial"/>
                <w:color w:val="000000"/>
                <w:sz w:val="16"/>
                <w:szCs w:val="16"/>
              </w:rPr>
            </w:pPr>
            <w:r w:rsidRPr="00EC0128">
              <w:rPr>
                <w:rFonts w:ascii="Cambria" w:hAnsi="Cambria" w:cs="Arial"/>
                <w:color w:val="000000"/>
                <w:sz w:val="16"/>
                <w:szCs w:val="16"/>
              </w:rPr>
              <w:t>124.4450</w:t>
            </w:r>
          </w:p>
        </w:tc>
        <w:tc>
          <w:tcPr>
            <w:tcW w:w="906" w:type="dxa"/>
            <w:tcBorders>
              <w:top w:val="single" w:sz="4" w:space="0" w:color="auto"/>
              <w:left w:val="single" w:sz="4" w:space="0" w:color="auto"/>
              <w:bottom w:val="single" w:sz="4" w:space="0" w:color="auto"/>
              <w:right w:val="single" w:sz="4" w:space="0" w:color="auto"/>
            </w:tcBorders>
          </w:tcPr>
          <w:p w:rsidR="005A21CA" w:rsidRPr="00EC0128" w:rsidRDefault="005A21CA" w:rsidP="005A21CA">
            <w:pPr>
              <w:spacing w:after="0" w:line="240" w:lineRule="auto"/>
              <w:jc w:val="center"/>
              <w:rPr>
                <w:rFonts w:ascii="Cambria" w:hAnsi="Cambria" w:cs="Arial"/>
                <w:color w:val="000000"/>
                <w:sz w:val="16"/>
                <w:szCs w:val="16"/>
              </w:rPr>
            </w:pPr>
            <w:r w:rsidRPr="00EC0128">
              <w:rPr>
                <w:rFonts w:ascii="Cambria" w:hAnsi="Cambria" w:cs="Arial"/>
                <w:color w:val="000000"/>
                <w:sz w:val="16"/>
                <w:szCs w:val="16"/>
              </w:rPr>
              <w:t>109.8718</w:t>
            </w:r>
          </w:p>
        </w:tc>
      </w:tr>
      <w:tr w:rsidR="005A21CA" w:rsidRPr="00EC01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44"/>
        </w:trPr>
        <w:tc>
          <w:tcPr>
            <w:tcW w:w="869" w:type="dxa"/>
            <w:tcBorders>
              <w:top w:val="single" w:sz="4" w:space="0" w:color="auto"/>
              <w:left w:val="single" w:sz="4" w:space="0" w:color="auto"/>
              <w:bottom w:val="single" w:sz="4" w:space="0" w:color="auto"/>
              <w:right w:val="single" w:sz="4" w:space="0" w:color="auto"/>
            </w:tcBorders>
            <w:shd w:val="clear" w:color="auto" w:fill="auto"/>
            <w:vAlign w:val="center"/>
          </w:tcPr>
          <w:p w:rsidR="005A21CA" w:rsidRPr="00EC0128" w:rsidRDefault="005A21CA" w:rsidP="005A21CA">
            <w:pPr>
              <w:spacing w:after="0" w:line="240" w:lineRule="auto"/>
              <w:jc w:val="center"/>
              <w:rPr>
                <w:rFonts w:ascii="Cambria" w:hAnsi="Cambria" w:cs="Arial"/>
                <w:b/>
                <w:sz w:val="16"/>
                <w:szCs w:val="16"/>
              </w:rPr>
            </w:pPr>
            <w:r w:rsidRPr="00EC0128">
              <w:rPr>
                <w:rFonts w:ascii="Cambria" w:hAnsi="Cambria" w:cs="Arial"/>
                <w:b/>
                <w:sz w:val="16"/>
                <w:szCs w:val="16"/>
              </w:rPr>
              <w:t>Total</w:t>
            </w: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5A21CA" w:rsidRPr="00EC0128" w:rsidRDefault="005A21CA" w:rsidP="005A21CA">
            <w:pPr>
              <w:spacing w:after="0" w:line="240" w:lineRule="auto"/>
              <w:jc w:val="center"/>
              <w:rPr>
                <w:rFonts w:ascii="Cambria" w:hAnsi="Cambria" w:cs="Arial"/>
                <w:color w:val="000000"/>
                <w:sz w:val="16"/>
                <w:szCs w:val="16"/>
              </w:rPr>
            </w:pPr>
            <w:r w:rsidRPr="00EC0128">
              <w:rPr>
                <w:rFonts w:ascii="Cambria" w:hAnsi="Cambria" w:cs="Arial"/>
                <w:color w:val="000000"/>
                <w:sz w:val="16"/>
                <w:szCs w:val="16"/>
              </w:rPr>
              <w:t>4,468.1026</w:t>
            </w:r>
          </w:p>
        </w:tc>
        <w:tc>
          <w:tcPr>
            <w:tcW w:w="1050" w:type="dxa"/>
            <w:tcBorders>
              <w:top w:val="single" w:sz="4" w:space="0" w:color="auto"/>
              <w:left w:val="single" w:sz="4" w:space="0" w:color="auto"/>
              <w:bottom w:val="single" w:sz="4" w:space="0" w:color="auto"/>
              <w:right w:val="single" w:sz="4" w:space="0" w:color="auto"/>
            </w:tcBorders>
          </w:tcPr>
          <w:p w:rsidR="005A21CA" w:rsidRPr="00EC0128" w:rsidRDefault="005A21CA" w:rsidP="005A21CA">
            <w:pPr>
              <w:spacing w:after="0" w:line="240" w:lineRule="auto"/>
              <w:jc w:val="center"/>
              <w:rPr>
                <w:rFonts w:ascii="Cambria" w:hAnsi="Cambria" w:cs="Arial"/>
                <w:color w:val="000000"/>
                <w:sz w:val="16"/>
                <w:szCs w:val="16"/>
              </w:rPr>
            </w:pPr>
            <w:r w:rsidRPr="00EC0128">
              <w:rPr>
                <w:rFonts w:ascii="Cambria" w:hAnsi="Cambria" w:cs="Arial"/>
                <w:color w:val="000000"/>
                <w:sz w:val="16"/>
                <w:szCs w:val="16"/>
              </w:rPr>
              <w:t>649.7804</w:t>
            </w: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5A21CA" w:rsidRPr="00EC0128" w:rsidRDefault="005A21CA" w:rsidP="005A21CA">
            <w:pPr>
              <w:spacing w:after="0" w:line="240" w:lineRule="auto"/>
              <w:jc w:val="center"/>
              <w:rPr>
                <w:rFonts w:ascii="Cambria" w:hAnsi="Cambria" w:cs="Arial"/>
                <w:color w:val="000000"/>
                <w:sz w:val="16"/>
                <w:szCs w:val="16"/>
              </w:rPr>
            </w:pPr>
            <w:r w:rsidRPr="00EC0128">
              <w:rPr>
                <w:rFonts w:ascii="Cambria" w:hAnsi="Cambria" w:cs="Arial"/>
                <w:color w:val="000000"/>
                <w:sz w:val="16"/>
                <w:szCs w:val="16"/>
              </w:rPr>
              <w:t>957.7079</w:t>
            </w:r>
          </w:p>
        </w:tc>
        <w:tc>
          <w:tcPr>
            <w:tcW w:w="870" w:type="dxa"/>
            <w:tcBorders>
              <w:top w:val="single" w:sz="4" w:space="0" w:color="auto"/>
              <w:left w:val="single" w:sz="4" w:space="0" w:color="auto"/>
              <w:bottom w:val="single" w:sz="4" w:space="0" w:color="auto"/>
              <w:right w:val="single" w:sz="4" w:space="0" w:color="auto"/>
            </w:tcBorders>
          </w:tcPr>
          <w:p w:rsidR="005A21CA" w:rsidRPr="00EC0128" w:rsidRDefault="005A21CA" w:rsidP="005A21CA">
            <w:pPr>
              <w:spacing w:after="0" w:line="240" w:lineRule="auto"/>
              <w:jc w:val="center"/>
              <w:rPr>
                <w:rFonts w:ascii="Cambria" w:hAnsi="Cambria" w:cs="Arial"/>
                <w:color w:val="000000"/>
                <w:sz w:val="16"/>
                <w:szCs w:val="16"/>
              </w:rPr>
            </w:pPr>
            <w:r w:rsidRPr="00EC0128">
              <w:rPr>
                <w:rFonts w:ascii="Cambria" w:hAnsi="Cambria" w:cs="Arial"/>
                <w:color w:val="000000"/>
                <w:sz w:val="16"/>
                <w:szCs w:val="16"/>
              </w:rPr>
              <w:t>818.0445</w:t>
            </w: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5A21CA" w:rsidRPr="00EC0128" w:rsidRDefault="005A21CA" w:rsidP="005A21CA">
            <w:pPr>
              <w:spacing w:after="0" w:line="240" w:lineRule="auto"/>
              <w:jc w:val="center"/>
              <w:rPr>
                <w:rFonts w:ascii="Cambria" w:hAnsi="Cambria" w:cs="Arial"/>
                <w:color w:val="000000"/>
                <w:sz w:val="16"/>
                <w:szCs w:val="16"/>
              </w:rPr>
            </w:pPr>
            <w:r w:rsidRPr="00EC0128">
              <w:rPr>
                <w:rFonts w:ascii="Cambria" w:hAnsi="Cambria" w:cs="Arial"/>
                <w:color w:val="000000"/>
                <w:sz w:val="16"/>
                <w:szCs w:val="16"/>
              </w:rPr>
              <w:t>1,088.4059</w:t>
            </w:r>
          </w:p>
        </w:tc>
        <w:tc>
          <w:tcPr>
            <w:tcW w:w="1050" w:type="dxa"/>
            <w:tcBorders>
              <w:top w:val="single" w:sz="4" w:space="0" w:color="auto"/>
              <w:left w:val="single" w:sz="4" w:space="0" w:color="auto"/>
              <w:bottom w:val="single" w:sz="4" w:space="0" w:color="auto"/>
              <w:right w:val="single" w:sz="4" w:space="0" w:color="auto"/>
            </w:tcBorders>
          </w:tcPr>
          <w:p w:rsidR="005A21CA" w:rsidRPr="00EC0128" w:rsidRDefault="005A21CA" w:rsidP="005A21CA">
            <w:pPr>
              <w:spacing w:after="0" w:line="240" w:lineRule="auto"/>
              <w:jc w:val="center"/>
              <w:rPr>
                <w:rFonts w:ascii="Cambria" w:hAnsi="Cambria" w:cs="Arial"/>
                <w:color w:val="000000"/>
                <w:sz w:val="16"/>
                <w:szCs w:val="16"/>
              </w:rPr>
            </w:pPr>
            <w:r w:rsidRPr="00EC0128">
              <w:rPr>
                <w:rFonts w:ascii="Cambria" w:hAnsi="Cambria" w:cs="Arial"/>
                <w:color w:val="000000"/>
                <w:sz w:val="16"/>
                <w:szCs w:val="16"/>
              </w:rPr>
              <w:t>393.9907</w:t>
            </w:r>
          </w:p>
        </w:tc>
        <w:tc>
          <w:tcPr>
            <w:tcW w:w="1064" w:type="dxa"/>
            <w:tcBorders>
              <w:top w:val="single" w:sz="4" w:space="0" w:color="auto"/>
              <w:left w:val="single" w:sz="4" w:space="0" w:color="auto"/>
              <w:bottom w:val="single" w:sz="4" w:space="0" w:color="auto"/>
              <w:right w:val="single" w:sz="4" w:space="0" w:color="auto"/>
            </w:tcBorders>
            <w:shd w:val="clear" w:color="auto" w:fill="auto"/>
          </w:tcPr>
          <w:p w:rsidR="005A21CA" w:rsidRPr="00EC0128" w:rsidRDefault="005A21CA" w:rsidP="005A21CA">
            <w:pPr>
              <w:spacing w:after="0" w:line="240" w:lineRule="auto"/>
              <w:jc w:val="center"/>
              <w:rPr>
                <w:rFonts w:ascii="Cambria" w:hAnsi="Cambria" w:cs="Arial"/>
                <w:color w:val="000000"/>
                <w:sz w:val="16"/>
                <w:szCs w:val="16"/>
              </w:rPr>
            </w:pPr>
            <w:r w:rsidRPr="00EC0128">
              <w:rPr>
                <w:rFonts w:ascii="Cambria" w:hAnsi="Cambria" w:cs="Arial"/>
                <w:color w:val="000000"/>
                <w:sz w:val="16"/>
                <w:szCs w:val="16"/>
              </w:rPr>
              <w:t>773.4155</w:t>
            </w:r>
          </w:p>
        </w:tc>
        <w:tc>
          <w:tcPr>
            <w:tcW w:w="906" w:type="dxa"/>
            <w:tcBorders>
              <w:top w:val="single" w:sz="4" w:space="0" w:color="auto"/>
              <w:left w:val="single" w:sz="4" w:space="0" w:color="auto"/>
              <w:bottom w:val="single" w:sz="4" w:space="0" w:color="auto"/>
              <w:right w:val="single" w:sz="4" w:space="0" w:color="auto"/>
            </w:tcBorders>
          </w:tcPr>
          <w:p w:rsidR="005A21CA" w:rsidRPr="00EC0128" w:rsidRDefault="005A21CA" w:rsidP="005A21CA">
            <w:pPr>
              <w:spacing w:after="0" w:line="240" w:lineRule="auto"/>
              <w:jc w:val="center"/>
              <w:rPr>
                <w:rFonts w:ascii="Cambria" w:hAnsi="Cambria" w:cs="Arial"/>
                <w:color w:val="000000"/>
                <w:sz w:val="16"/>
                <w:szCs w:val="16"/>
              </w:rPr>
            </w:pPr>
            <w:r w:rsidRPr="00EC0128">
              <w:rPr>
                <w:rFonts w:ascii="Cambria" w:hAnsi="Cambria" w:cs="Arial"/>
                <w:color w:val="000000"/>
                <w:sz w:val="16"/>
                <w:szCs w:val="16"/>
              </w:rPr>
              <w:t>116.1400</w:t>
            </w:r>
          </w:p>
        </w:tc>
      </w:tr>
    </w:tbl>
    <w:p w:rsidR="005A21CA" w:rsidRPr="00EC0128" w:rsidRDefault="005A21CA" w:rsidP="005A21CA">
      <w:pPr>
        <w:pStyle w:val="Source"/>
        <w:ind w:left="0"/>
      </w:pPr>
      <w:r w:rsidRPr="00EC0128">
        <w:t>Sources: CalEEMod (v.2013.2.2)</w:t>
      </w:r>
    </w:p>
    <w:p w:rsidR="005A21CA" w:rsidRDefault="005A21CA" w:rsidP="005A21CA">
      <w:r>
        <w:br w:type="page"/>
      </w:r>
      <w:r w:rsidRPr="00EC0128">
        <w:lastRenderedPageBreak/>
        <w:t>As shown in the table above, operational ROG, PM</w:t>
      </w:r>
      <w:r w:rsidRPr="00EC0128">
        <w:rPr>
          <w:vertAlign w:val="subscript"/>
        </w:rPr>
        <w:t>10</w:t>
      </w:r>
      <w:r w:rsidRPr="00EC0128">
        <w:t>, and PM</w:t>
      </w:r>
      <w:r w:rsidRPr="00EC0128">
        <w:rPr>
          <w:vertAlign w:val="subscript"/>
        </w:rPr>
        <w:t>2.5</w:t>
      </w:r>
      <w:r w:rsidRPr="00EC0128">
        <w:t xml:space="preserve"> emissions can be significantly reduced through the implementation of basic mitigation measure</w:t>
      </w:r>
      <w:r>
        <w:t>s such as the following:</w:t>
      </w:r>
    </w:p>
    <w:p w:rsidR="005A21CA" w:rsidRPr="00EC0128" w:rsidRDefault="005A21CA" w:rsidP="005A21CA">
      <w:pPr>
        <w:spacing w:after="0"/>
        <w:rPr>
          <w:b/>
          <w:u w:val="single"/>
        </w:rPr>
      </w:pPr>
      <w:r w:rsidRPr="00EC0128">
        <w:rPr>
          <w:b/>
          <w:u w:val="single"/>
        </w:rPr>
        <w:t>Area Source:</w:t>
      </w:r>
    </w:p>
    <w:p w:rsidR="005A21CA" w:rsidRPr="00EC0128" w:rsidRDefault="005A21CA" w:rsidP="005A21CA">
      <w:pPr>
        <w:pStyle w:val="ColorfulList-Accent11"/>
        <w:numPr>
          <w:ilvl w:val="0"/>
          <w:numId w:val="30"/>
        </w:numPr>
        <w:spacing w:line="252" w:lineRule="auto"/>
      </w:pPr>
      <w:r w:rsidRPr="00EC0128">
        <w:t>Natural gas fireplaces/stoves.</w:t>
      </w:r>
    </w:p>
    <w:p w:rsidR="005A21CA" w:rsidRPr="00EC0128" w:rsidRDefault="005A21CA" w:rsidP="005A21CA">
      <w:pPr>
        <w:pStyle w:val="ColorfulList-Accent11"/>
        <w:numPr>
          <w:ilvl w:val="0"/>
          <w:numId w:val="30"/>
        </w:numPr>
        <w:spacing w:line="252" w:lineRule="auto"/>
      </w:pPr>
      <w:r w:rsidRPr="00EC0128">
        <w:t xml:space="preserve">Low Volatile Organic Compound architectural coatings (150 g/L). </w:t>
      </w:r>
    </w:p>
    <w:p w:rsidR="005A21CA" w:rsidRPr="00EC0128" w:rsidRDefault="005A21CA" w:rsidP="005A21CA">
      <w:pPr>
        <w:spacing w:after="0"/>
        <w:rPr>
          <w:b/>
          <w:u w:val="single"/>
        </w:rPr>
      </w:pPr>
      <w:r w:rsidRPr="00EC0128">
        <w:rPr>
          <w:b/>
          <w:u w:val="single"/>
        </w:rPr>
        <w:t>Energy Source</w:t>
      </w:r>
    </w:p>
    <w:p w:rsidR="005A21CA" w:rsidRPr="00EC0128" w:rsidRDefault="005A21CA" w:rsidP="005A21CA">
      <w:pPr>
        <w:pStyle w:val="ColorfulList-Accent11"/>
        <w:numPr>
          <w:ilvl w:val="0"/>
          <w:numId w:val="30"/>
        </w:numPr>
        <w:spacing w:line="252" w:lineRule="auto"/>
      </w:pPr>
      <w:r w:rsidRPr="00EC0128">
        <w:t>Install high efficiency appliances (refrigerator, fans, washers)</w:t>
      </w:r>
    </w:p>
    <w:p w:rsidR="005A21CA" w:rsidRPr="00EC0128" w:rsidRDefault="005A21CA" w:rsidP="005A21CA">
      <w:pPr>
        <w:spacing w:after="0"/>
        <w:rPr>
          <w:b/>
          <w:u w:val="single"/>
        </w:rPr>
      </w:pPr>
      <w:r w:rsidRPr="00EC0128">
        <w:rPr>
          <w:b/>
          <w:u w:val="single"/>
        </w:rPr>
        <w:t>Indoor Water Use</w:t>
      </w:r>
    </w:p>
    <w:p w:rsidR="005A21CA" w:rsidRPr="00EC0128" w:rsidRDefault="005A21CA" w:rsidP="005A21CA">
      <w:pPr>
        <w:pStyle w:val="ColorfulList-Accent11"/>
        <w:numPr>
          <w:ilvl w:val="0"/>
          <w:numId w:val="30"/>
        </w:numPr>
        <w:spacing w:line="252" w:lineRule="auto"/>
      </w:pPr>
      <w:r w:rsidRPr="00EC0128">
        <w:t>Install low-flow faucets, toilets, showers</w:t>
      </w:r>
    </w:p>
    <w:p w:rsidR="005A21CA" w:rsidRPr="00EC0128" w:rsidRDefault="005A21CA" w:rsidP="005A21CA">
      <w:pPr>
        <w:pStyle w:val="ColorfulList-Accent11"/>
        <w:numPr>
          <w:ilvl w:val="0"/>
          <w:numId w:val="30"/>
        </w:numPr>
        <w:spacing w:line="252" w:lineRule="auto"/>
      </w:pPr>
      <w:r w:rsidRPr="00EC0128">
        <w:t>Use water-efficient irrigation  systems</w:t>
      </w:r>
    </w:p>
    <w:p w:rsidR="005A21CA" w:rsidRPr="00EC0128" w:rsidRDefault="005A21CA" w:rsidP="005A21CA">
      <w:r>
        <w:t xml:space="preserve">Each individual project would require an individual air quality analysis to determine if the project exceeds the BAAQMD thresholds of significance. </w:t>
      </w:r>
    </w:p>
    <w:p w:rsidR="005A21CA" w:rsidRPr="00267938" w:rsidRDefault="005A21CA" w:rsidP="005A21CA">
      <w:pPr>
        <w:pStyle w:val="Heading2"/>
      </w:pPr>
      <w:r>
        <w:t>3.2</w:t>
      </w:r>
      <w:r w:rsidRPr="00267938">
        <w:t>.2</w:t>
      </w:r>
      <w:r w:rsidRPr="00267938">
        <w:tab/>
        <w:t>Regulatory Setting</w:t>
      </w:r>
    </w:p>
    <w:p w:rsidR="005A21CA" w:rsidRPr="00267938" w:rsidRDefault="005A21CA" w:rsidP="005A21CA">
      <w:pPr>
        <w:pStyle w:val="Heading3"/>
      </w:pPr>
      <w:r w:rsidRPr="00267938">
        <w:t>Federal</w:t>
      </w:r>
    </w:p>
    <w:p w:rsidR="005A21CA" w:rsidRPr="00267938" w:rsidRDefault="005A21CA" w:rsidP="005A21CA">
      <w:pPr>
        <w:pStyle w:val="Heading4"/>
      </w:pPr>
      <w:r w:rsidRPr="00267938">
        <w:t>Clean Air Act</w:t>
      </w:r>
    </w:p>
    <w:p w:rsidR="005A21CA" w:rsidRPr="00267938" w:rsidRDefault="005A21CA" w:rsidP="005A21CA">
      <w:r w:rsidRPr="00267938">
        <w:t>The Federal Clean Air Act (FCAA) was first signed into law in 1970. In 1977, and again in 1990, the law was substantially amended. The FCAA is the foundation for a national air pollution control effort, and it is composed of the following basic elements: NAAQS for criteria air pollutants, hazardous air pollutant standards, state attainment plans, motor vehicle emissions standards, stationary source emissions standards and permits, acid rain control measures, stratospheric ozone protection, and enforcement provisions.</w:t>
      </w:r>
    </w:p>
    <w:p w:rsidR="005A21CA" w:rsidRPr="00267938" w:rsidRDefault="005A21CA" w:rsidP="005A21CA">
      <w:r w:rsidRPr="00267938">
        <w:t>The EPA is responsible for administering the FCAA. The FCAA requires the EPA to set NAAQS for several problem air pollutants based on human health and welfare criteria. Two types of NAAQS were established: primary standards, which protect public health, and secondary standards, which protect the public welfare from non-health-related adverse effects such as visibility reduction.</w:t>
      </w:r>
    </w:p>
    <w:p w:rsidR="005A21CA" w:rsidRPr="00267938" w:rsidRDefault="005A21CA" w:rsidP="005A21CA">
      <w:pPr>
        <w:pStyle w:val="Heading4"/>
      </w:pPr>
      <w:r w:rsidRPr="00267938">
        <w:t xml:space="preserve">Energy Policy and Conservation Act </w:t>
      </w:r>
    </w:p>
    <w:p w:rsidR="005A21CA" w:rsidRPr="00267938" w:rsidRDefault="005A21CA" w:rsidP="005A21CA">
      <w:r w:rsidRPr="00267938">
        <w:t xml:space="preserve">The Energy Policy and Conservation Act of 1975 sought to ensure that all vehicles sold in the U.S. would meet certain fuel economy goals. Through this Act, Congress established the first fuel economy standards for on-road motor vehicles in the United States. Pursuant to the Act, the National Highway Traffic and Safety Administration, which is part of the U.S. Department of Transportation (USDOT), is responsible for establishing additional vehicle standards and for revising existing standards. </w:t>
      </w:r>
    </w:p>
    <w:p w:rsidR="005A21CA" w:rsidRPr="00267938" w:rsidRDefault="005A21CA" w:rsidP="005A21CA">
      <w:r w:rsidRPr="00267938">
        <w:t xml:space="preserve">Since 1990, the fuel economy standard for new passenger cars has been 27.5 mpg. Since 1996, the fuel economy standard for new light trucks (gross vehicle weight of 8,500 pounds or less) has been 20.7 mpg. Heavy-duty vehicles (i.e., vehicles and trucks over 8,500 pounds gross vehicle weight) </w:t>
      </w:r>
      <w:r w:rsidRPr="00267938">
        <w:lastRenderedPageBreak/>
        <w:t xml:space="preserve">are not currently subject to fuel economy standards. Compliance with federal fuel economy standards is determined on the basis of each manufacturer’s average fuel economy for the portion of its vehicles produced for sale in the U.S. The Corporate Average Fuel Economy (CAFE) program, which is administered by the EPA, was created to determine vehicle manufacturers’ compliance with the fuel economy standards. The EPA calculates a CAFE value for each manufacturer based on city and highway fuel economy test results and vehicle sales. Based on the information generated under the CAFE program, the USDOT is authorized to assess penalties for noncompliance. </w:t>
      </w:r>
    </w:p>
    <w:p w:rsidR="005A21CA" w:rsidRPr="00267938" w:rsidRDefault="005A21CA" w:rsidP="005A21CA">
      <w:pPr>
        <w:pStyle w:val="Heading4"/>
      </w:pPr>
      <w:r w:rsidRPr="00267938">
        <w:t xml:space="preserve">Energy Policy Act of 1992 (EPAct) </w:t>
      </w:r>
    </w:p>
    <w:p w:rsidR="005A21CA" w:rsidRPr="00267938" w:rsidRDefault="005A21CA" w:rsidP="005A21CA">
      <w:r w:rsidRPr="00267938">
        <w:t xml:space="preserve">The Energy Policy Act of 1992 (EPAct) was passed to reduce the country’s dependence on foreign petroleum and improve air quality. EPAct includes several parts intended to build an inventory of alternative fuel vehicles (AFVs) in large, centrally fueled fleets in metropolitan areas. EPAct requires certain federal, state, and local government and private fleets to purchase a percentage of light duty AFVs capable of running on alternative fuels each year. In addition, financial incentives are included in EPAct. Federal tax deductions will be allowed for businesses and individuals to cover the incremental cost of AFVs. States are also required by the act to consider a variety of incentive programs to help promote AFVs. </w:t>
      </w:r>
    </w:p>
    <w:p w:rsidR="005A21CA" w:rsidRPr="00267938" w:rsidRDefault="005A21CA" w:rsidP="005A21CA">
      <w:pPr>
        <w:pStyle w:val="Heading4"/>
      </w:pPr>
      <w:r w:rsidRPr="00267938">
        <w:t xml:space="preserve">Energy Policy Act of 2005 </w:t>
      </w:r>
    </w:p>
    <w:p w:rsidR="005A21CA" w:rsidRPr="00267938" w:rsidRDefault="005A21CA" w:rsidP="005A21CA">
      <w:r w:rsidRPr="00267938">
        <w:t xml:space="preserve">The Energy Policy Act of 2005 was signed into law on August 8, 2005. Generally, the act provides for renewed and expanded tax credits for electricity generated by qualified energy sources, such as landfill gas; provides bond financing, tax incentives, grants, and loan guarantees for a clean renewable energy and rural community electrification; and establishes a federal purchase requirement for renewable energy. </w:t>
      </w:r>
    </w:p>
    <w:p w:rsidR="005A21CA" w:rsidRPr="00267938" w:rsidRDefault="005A21CA" w:rsidP="005A21CA">
      <w:pPr>
        <w:pStyle w:val="Heading4"/>
      </w:pPr>
      <w:r w:rsidRPr="00267938">
        <w:t xml:space="preserve">Federal Climate Change Policy </w:t>
      </w:r>
    </w:p>
    <w:p w:rsidR="005A21CA" w:rsidRPr="00267938" w:rsidRDefault="005A21CA" w:rsidP="005A21CA">
      <w:r w:rsidRPr="00267938">
        <w:t xml:space="preserve">According to the EPA, “the United States government has established a comprehensive policy to address climate change” that includes slowing the growth of emissions; strengthening science, technology, and institutions; and enhancing international cooperation. To implement this policy, “the Federal government is using voluntary and incentive-based programs to reduce emissions and has established programs to promote climate technology and science.” The federal government’s goal is to reduce the greenhouse gas (GHG) intensity (a measurement of GHG emissions per unit of economic activity) of the American economy by 18 percent over the 10-year period from 2002 to 2012. In addition, the EPA administers multiple programs that encourage voluntary GHG reductions, including “ENERGY STAR”, “Climate Leaders”, and Methane Voluntary Programs. However, as of this writing, there are no adopted federal plans, policies, regulations, or laws directly regulating GHG emissions. </w:t>
      </w:r>
    </w:p>
    <w:p w:rsidR="005A21CA" w:rsidRPr="00267938" w:rsidRDefault="005A21CA" w:rsidP="005A21CA">
      <w:pPr>
        <w:pStyle w:val="Heading3"/>
        <w:tabs>
          <w:tab w:val="left" w:pos="3858"/>
        </w:tabs>
      </w:pPr>
      <w:r>
        <w:br w:type="page"/>
      </w:r>
      <w:r w:rsidRPr="00267938">
        <w:lastRenderedPageBreak/>
        <w:t>State</w:t>
      </w:r>
    </w:p>
    <w:p w:rsidR="005A21CA" w:rsidRPr="00267938" w:rsidRDefault="005A21CA" w:rsidP="005A21CA">
      <w:pPr>
        <w:pStyle w:val="Heading4"/>
      </w:pPr>
      <w:r w:rsidRPr="00267938">
        <w:t>California Clean Air Act</w:t>
      </w:r>
    </w:p>
    <w:p w:rsidR="005A21CA" w:rsidRPr="00267938" w:rsidRDefault="005A21CA" w:rsidP="005A21CA">
      <w:r w:rsidRPr="00267938">
        <w:t>The California Clean Air Act (CCAA) was first signed into law in 1988. The CCAA provides a comprehensive framework for air quality planning and regulation, and spells out, in statute, the state’s air quality goals, planning and regulatory strategies, and performance. CARB is the agency responsible for administering the CCAA. CARB established ambient air quality standards pursuant to the California Health and Safety Code [§39606(b)], which are similar to the federal standards.</w:t>
      </w:r>
    </w:p>
    <w:p w:rsidR="005A21CA" w:rsidRPr="00267938" w:rsidRDefault="005A21CA" w:rsidP="005A21CA">
      <w:pPr>
        <w:pStyle w:val="Heading4"/>
      </w:pPr>
      <w:r w:rsidRPr="00267938">
        <w:t>Air Quality Standards</w:t>
      </w:r>
    </w:p>
    <w:p w:rsidR="005A21CA" w:rsidRPr="00267938" w:rsidRDefault="005A21CA" w:rsidP="005A21CA">
      <w:r w:rsidRPr="00267938">
        <w:t>NAAQS are determined by the EPA. The standards include both primary and secondary ambient air quality standards. Primary standards are established with a safety margin. Secondary standards are more stringent than primary standards and are intended to protect public health and welfare. States have the ability to set standards that are more stringent than the federal standards. As such, California established more stringent ambient air quality standards.</w:t>
      </w:r>
    </w:p>
    <w:p w:rsidR="005A21CA" w:rsidRPr="00267938" w:rsidRDefault="005A21CA" w:rsidP="005A21CA">
      <w:r w:rsidRPr="00267938">
        <w:t xml:space="preserve">Federal and state ambient air quality standards have been established for ozone, carbon monoxide, nitrogen dioxide, sulfur dioxide, suspended </w:t>
      </w:r>
      <w:r w:rsidRPr="007E390C">
        <w:t>particulates (PM</w:t>
      </w:r>
      <w:r w:rsidRPr="007E390C">
        <w:rPr>
          <w:vertAlign w:val="subscript"/>
        </w:rPr>
        <w:t>10</w:t>
      </w:r>
      <w:r w:rsidRPr="007E390C">
        <w:t xml:space="preserve">) and lead. In addition, California has created standards for pollutants that are not covered by federal standards. The state and federal primary standards for major pollutants are shown in Table </w:t>
      </w:r>
      <w:r>
        <w:t>3.2</w:t>
      </w:r>
      <w:r w:rsidRPr="007E390C">
        <w:t>-1.</w:t>
      </w:r>
    </w:p>
    <w:p w:rsidR="005A21CA" w:rsidRPr="00267938" w:rsidRDefault="005A21CA" w:rsidP="005A21CA">
      <w:r w:rsidRPr="00267938">
        <w:t>Like the EPA, CARB also designates areas within California as either attainment or nonattainment for each criteria pollutant based on whether the CAAQS have been achieved. Under the CCAA, areas are designated as nonattainment for a pollutant in air quality data shows that a State standard for the pollutant was violated at least once during the previous three calendar years. Exceedances that are affected by highly irregular or infrequent events are not considered violations of a State standard, and are not used as a basis for designating areas as nonattainment.</w:t>
      </w:r>
    </w:p>
    <w:p w:rsidR="005A21CA" w:rsidRPr="00267938" w:rsidRDefault="005A21CA" w:rsidP="005A21CA">
      <w:pPr>
        <w:pStyle w:val="Heading4"/>
      </w:pPr>
      <w:r w:rsidRPr="00267938">
        <w:t xml:space="preserve">CARB Mobile-Source Regulation </w:t>
      </w:r>
    </w:p>
    <w:p w:rsidR="005A21CA" w:rsidRPr="00267938" w:rsidRDefault="005A21CA" w:rsidP="005A21CA">
      <w:r w:rsidRPr="00267938">
        <w:t>The State of California is responsible for controlling emissions from the operation of motor vehicles in the state.</w:t>
      </w:r>
      <w:r>
        <w:t xml:space="preserve"> </w:t>
      </w:r>
      <w:r w:rsidRPr="00267938">
        <w:t>Rather than mandating the use of specific technology or the reliance on a specific fuel, the CARB’s motor vehicle standards specify the allowable grams of pollution per mile driven.</w:t>
      </w:r>
      <w:r>
        <w:t xml:space="preserve"> </w:t>
      </w:r>
      <w:r w:rsidRPr="00267938">
        <w:t>In other words, the regulations focus on the reductions needed rather than on the manner in which they are achieved.</w:t>
      </w:r>
      <w:r>
        <w:t xml:space="preserve"> </w:t>
      </w:r>
      <w:r w:rsidRPr="00267938">
        <w:t xml:space="preserve">Towards this end, the CARB has adopted regulations which required auto manufacturers to phase in less polluting vehicles. </w:t>
      </w:r>
    </w:p>
    <w:p w:rsidR="005A21CA" w:rsidRPr="00267938" w:rsidRDefault="005A21CA" w:rsidP="005A21CA">
      <w:pPr>
        <w:pStyle w:val="Heading4"/>
      </w:pPr>
      <w:r w:rsidRPr="00267938">
        <w:t xml:space="preserve">Tanner Air Toxics Act </w:t>
      </w:r>
    </w:p>
    <w:p w:rsidR="005A21CA" w:rsidRPr="00267938" w:rsidRDefault="005A21CA" w:rsidP="005A21CA">
      <w:r w:rsidRPr="00267938">
        <w:t xml:space="preserve">California regulates Toxic Air Containments (TACs) primarily through the Tanner Air Toxics Act (AB 1807) and the Air Toxics Hot Spots Information and Assessment Act of 1987 (AB 2588). The Tanner Act sets forth a formal procedure for CARB to designate substances as TACs. This includes research, public participation, and scientific peer review before CARB can designate a substance as a TAC. To date, CARB has identified more than 21 TACs and has adopted EPA’s list of HAPs as TACs. Most recently, diesel PM was added to the CARB list of TACs. Once a TAC is identified, CARB then </w:t>
      </w:r>
      <w:r w:rsidRPr="00267938">
        <w:lastRenderedPageBreak/>
        <w:t>adopts an Airborne Toxics Control Measure (ATCM) for sources that emit that particular TAC. If there is a safe threshold for a substance at which there is no toxic effect, the control measure must reduce exposure below that threshold. If there is no safe threshold, the measure must incorporate Best Available Control Technology (BACT) to minimize emissions.</w:t>
      </w:r>
    </w:p>
    <w:p w:rsidR="005A21CA" w:rsidRPr="00267938" w:rsidRDefault="005A21CA" w:rsidP="005A21CA">
      <w:r w:rsidRPr="00267938">
        <w:t>The AB 2588 requires that existing facilities that emit toxic substances above a specified level prepare a toxic-emission inventory, prepare a risk assessment if emissions are significant, notify the public of significant risk levels, and prepare and implement risk reduction measures. CARB has adopted diesel exhaust control measures and more stringent emission standards for various on-road mobile sources of emissions, including transit buses and off-road diesel equipment (e.g., tractors, generators). In February 2000, CARB adopted a new public-transit bus-fleet rule and emission standards for new urban buses. These rules and standards provide for (1) more stringent emission standards for some new urban bus engines, beginning with 2002 model year engines; (2) zero-emission bus demonstration and purchase requirements applicable to transit agencies; and (3) reporting requirements under which transit agencies must demonstrate compliance with the urban transit bus fleet rule. Upcoming milestones include the low-sulfur diesel-fuel requirement, and tighter emission standards for heavy-duty diesel trucks (2007) and off-road diesel equipment (2011) nationwide.</w:t>
      </w:r>
    </w:p>
    <w:p w:rsidR="005A21CA" w:rsidRPr="00267938" w:rsidRDefault="005A21CA" w:rsidP="005A21CA">
      <w:pPr>
        <w:pStyle w:val="Heading4"/>
      </w:pPr>
      <w:r w:rsidRPr="00267938">
        <w:t xml:space="preserve">California Strategy to Reduce Petroleum Dependence (AB 2076) </w:t>
      </w:r>
    </w:p>
    <w:p w:rsidR="005A21CA" w:rsidRPr="00267938" w:rsidRDefault="005A21CA" w:rsidP="005A21CA">
      <w:r w:rsidRPr="00267938">
        <w:t xml:space="preserve">In response to the requirements of AB 2076 (Chapter 936, Statutes of 2000), the CEC and the CARB developed a strategy to reduce petroleum dependence in California. The strategy, </w:t>
      </w:r>
      <w:r w:rsidRPr="00267938">
        <w:rPr>
          <w:i/>
          <w:iCs/>
        </w:rPr>
        <w:t>Reducing California’s Petroleum Dependence</w:t>
      </w:r>
      <w:r w:rsidRPr="00267938">
        <w:t xml:space="preserve">, was adopted by the CEC and CARB in 2003. The strategy recommends that California reduce on-road gasoline and diesel fuel demand to 15 percent below 2003 demand levels by 2020 and maintain that level for the foreseeable future; the Governor and Legislature work to establish national fuel economy standards that double the fuel efficiency of new cars, light trucks, and sport utility vehicles (SUVs); and increase the use of non- petroleum fuels to 20 percent of on-road fuel consumption by 2020 and 30 percent by 2030. </w:t>
      </w:r>
    </w:p>
    <w:p w:rsidR="005A21CA" w:rsidRPr="00267938" w:rsidRDefault="005A21CA" w:rsidP="005A21CA">
      <w:pPr>
        <w:pStyle w:val="Heading4"/>
      </w:pPr>
      <w:r w:rsidRPr="00267938">
        <w:t xml:space="preserve">Assembly Bill 1493 </w:t>
      </w:r>
    </w:p>
    <w:p w:rsidR="005A21CA" w:rsidRPr="00267938" w:rsidRDefault="005A21CA" w:rsidP="005A21CA">
      <w:r w:rsidRPr="00267938">
        <w:t>In response to AB 1493, CARB approved amendments to the California Code of Regulations (CCR) adding GHG emission standards to California’s existing motor vehicle emission standards. Amendments to CCR Title 13 Sections 1900 (CCR 13 1900) and 1961 (CCR 13 1961), and adoption of Section 1961.1 (CCR 13 1961.1) require automobile manufacturers to meet fleet average GHG emission limits for all passenger cars, light-duty trucks within various weight criteria, and medium-duty passenger vehicle weight classes beginning with the 2009 model year. Emission limits are further reduced each model year through 2016. For passenger cars and light-duty trucks 3,750 pounds or less loaded vehicle weight (LVW), the 2016 GHG emission limits are approximately 37 percent lower than during the first year of the regulations in 2009. For medium-duty passenger vehicles and light-duty trucks 3,751 LVW to 8,500 pounds gross vehicle weight (GVW), GHG emissions are reduced approximately 24 percent between 2009 and 2016.</w:t>
      </w:r>
      <w:r>
        <w:t xml:space="preserve"> </w:t>
      </w:r>
    </w:p>
    <w:p w:rsidR="005A21CA" w:rsidRPr="00267938" w:rsidRDefault="005A21CA" w:rsidP="005A21CA">
      <w:pPr>
        <w:rPr>
          <w:color w:val="000000"/>
        </w:rPr>
      </w:pPr>
      <w:r w:rsidRPr="00267938">
        <w:t xml:space="preserve">CARB requested a waiver of federal preemption of California’s Greenhouse Gas Emissions Standards. The intent of the waiver is to allow California to enact emissions standards to reduce </w:t>
      </w:r>
      <w:r w:rsidRPr="00267938">
        <w:lastRenderedPageBreak/>
        <w:t xml:space="preserve">carbon dioxide and other greenhouse gas emissions from automobiles in accordance with the regulation amendments to the CCRs that fulfill the requirements of AB 1493. </w:t>
      </w:r>
      <w:r w:rsidRPr="00267938">
        <w:rPr>
          <w:color w:val="000000"/>
        </w:rPr>
        <w:t xml:space="preserve">The EPA granted a waiver to California to implement its greenhouse gas emissions standards for cars. </w:t>
      </w:r>
    </w:p>
    <w:p w:rsidR="005A21CA" w:rsidRPr="00267938" w:rsidRDefault="005A21CA" w:rsidP="005A21CA">
      <w:pPr>
        <w:pStyle w:val="Heading4"/>
      </w:pPr>
      <w:r w:rsidRPr="00267938">
        <w:t xml:space="preserve">California Executive Orders S-3-05 and S-20-06, and Assembly Bill 32 </w:t>
      </w:r>
    </w:p>
    <w:p w:rsidR="005A21CA" w:rsidRPr="00267938" w:rsidRDefault="005A21CA" w:rsidP="005A21CA">
      <w:r w:rsidRPr="00267938">
        <w:t>On June 1, 2005, Governor Arnold Schwarzenegger signed Executive Order S-3-05.</w:t>
      </w:r>
      <w:r>
        <w:t xml:space="preserve"> </w:t>
      </w:r>
      <w:r w:rsidRPr="00267938">
        <w:t>The goal of this Executive Order is to reduce California’s GHG emissions to:</w:t>
      </w:r>
      <w:r>
        <w:t xml:space="preserve"> </w:t>
      </w:r>
      <w:r w:rsidRPr="00267938">
        <w:t>1) 2000 levels by 2010, 2) 1990 levels by the 2020 and 3) 80% below the 1990 levels by the year 2050.</w:t>
      </w:r>
      <w:r>
        <w:t xml:space="preserve"> </w:t>
      </w:r>
    </w:p>
    <w:p w:rsidR="005A21CA" w:rsidRPr="00267938" w:rsidRDefault="005A21CA" w:rsidP="005A21CA">
      <w:r w:rsidRPr="00267938">
        <w:t>In 2006, this goal was further reinforced with the passage of Assembly Bill 32 (AB 32), the Global Warming Solutions Act of 2006.</w:t>
      </w:r>
      <w:r>
        <w:t xml:space="preserve"> </w:t>
      </w:r>
      <w:r w:rsidRPr="00267938">
        <w:t>AB 32 sets the same overall GHG emissions reduction goals while further mandating that CARB create a plan, which includes market mechanisms, and implement rules to achieve “real, quantifiable, cost-effective reductions of greenhouse gases.”</w:t>
      </w:r>
      <w:r>
        <w:t xml:space="preserve"> </w:t>
      </w:r>
      <w:r w:rsidRPr="00267938">
        <w:t>Executive Order S-20-06 further directs state agencies to begin implementing AB 32, including the recommendations made by the state’s Climate Action Team.</w:t>
      </w:r>
      <w:r>
        <w:t xml:space="preserve"> </w:t>
      </w:r>
    </w:p>
    <w:p w:rsidR="005A21CA" w:rsidRPr="00267938" w:rsidRDefault="005A21CA" w:rsidP="005A21CA">
      <w:pPr>
        <w:pStyle w:val="Heading4"/>
      </w:pPr>
      <w:r w:rsidRPr="00267938">
        <w:t>Assembly Bill 1007</w:t>
      </w:r>
    </w:p>
    <w:p w:rsidR="005A21CA" w:rsidRPr="00267938" w:rsidRDefault="00B800C5" w:rsidP="005A21CA">
      <w:hyperlink r:id="rId8" w:history="1">
        <w:r w:rsidR="005A21CA" w:rsidRPr="00267938">
          <w:t>Assembly Bill 1007</w:t>
        </w:r>
      </w:hyperlink>
      <w:r w:rsidR="005A21CA" w:rsidRPr="00267938">
        <w:t>, (Pavley, Chapter 371, Statutes of 2005) directed the CEC to prepare a plan to increase the use of alternative fuels in California. As a result, the CEC prepared the State Alternative Fuels Plan in consultation with the state, federal, and local agencies.</w:t>
      </w:r>
      <w:r w:rsidR="005A21CA">
        <w:t xml:space="preserve"> </w:t>
      </w:r>
      <w:r w:rsidR="005A21CA" w:rsidRPr="00267938">
        <w:t xml:space="preserve">The plan presents strategies and actions California must take to increase the use of alternative non-petroleum fuels in a manner that minimizes costs to California and maximizes the economic benefits of in-state production. The Plan assessed various alternative fuels and developed fuel portfolios to meet California’s goals to reduce petroleum consumption, increase alternative fuels use, reduce greenhouse gas emissions, and increase in-state production of biofuels without causing a significant degradation of public health and environmental quality. </w:t>
      </w:r>
    </w:p>
    <w:p w:rsidR="005A21CA" w:rsidRPr="00267938" w:rsidRDefault="005A21CA" w:rsidP="005A21CA">
      <w:pPr>
        <w:pStyle w:val="Heading4"/>
      </w:pPr>
      <w:r w:rsidRPr="00267938">
        <w:t xml:space="preserve">Bioenergy Action Plan – Executive Order #S-06-06 </w:t>
      </w:r>
    </w:p>
    <w:p w:rsidR="005A21CA" w:rsidRPr="00267938" w:rsidRDefault="005A21CA" w:rsidP="005A21CA">
      <w:r w:rsidRPr="00267938">
        <w:t xml:space="preserve">Executive Order #S-06-06 establishes targets for the use and production of biofuels and biopower and directs state agencies to work together to advance biomass programs in California while providing environmental protection and mitigation. The executive order establishes the following target to increase the production and use of bioenergy, including ethanol and biodiesel fuels made from renewable resources: produce a minimum of 20 percent of its biofuels within California by 2010, 40 percent by 2020, and 75 percent by 2050. The executive order also calls for the state to meet a target for use of biomass electricity. </w:t>
      </w:r>
    </w:p>
    <w:p w:rsidR="005A21CA" w:rsidRPr="00267938" w:rsidRDefault="005A21CA" w:rsidP="005A21CA">
      <w:pPr>
        <w:pStyle w:val="Heading4"/>
      </w:pPr>
      <w:r w:rsidRPr="00267938">
        <w:t xml:space="preserve">Governor’s Low Carbon Fuel Standard (Executive Order #S-01-07) </w:t>
      </w:r>
    </w:p>
    <w:p w:rsidR="005A21CA" w:rsidRPr="00267938" w:rsidRDefault="005A21CA" w:rsidP="005A21CA">
      <w:r w:rsidRPr="00267938">
        <w:t xml:space="preserve">Executive Order #S-01-07 establishes a statewide goal to reduce the carbon intensity of California’s transportation fuels by at least 10 percent by 2020 through establishment of a Low Carbon Fuel Standard. The Low Carbon Fuel Standard is incorporated into the State Alternative Fuels Plan and is one of the proposed discrete early action GHG reduction measures identified by CARB pursuant to AB 32. </w:t>
      </w:r>
    </w:p>
    <w:p w:rsidR="005A21CA" w:rsidRPr="00267938" w:rsidRDefault="005A21CA" w:rsidP="005A21CA">
      <w:pPr>
        <w:pStyle w:val="Heading4"/>
      </w:pPr>
      <w:r w:rsidRPr="00267938">
        <w:lastRenderedPageBreak/>
        <w:t xml:space="preserve">Climate Action Program at Caltrans </w:t>
      </w:r>
    </w:p>
    <w:p w:rsidR="005A21CA" w:rsidRPr="00267938" w:rsidRDefault="005A21CA" w:rsidP="005A21CA">
      <w:r w:rsidRPr="00267938">
        <w:t xml:space="preserve">The California Department of Transportation, Business, Transportation, and Housing Agency, prepared a Climate Action Program in response to new regulatory directives. The goal of the Climate Action Program is to promote clean and energy efficient transportation, and provide guidance for mainstreaming energy and climate change issues into business operations. The overall approach to lower fuel consumption and CO2 from transportation is twofold: (1) reduce congestion and improve efficiency of transportation systems through smart land use, operational improvements, and Intelligent Transportation Systems; and (2) institutionalize energy efficiency and GHG emission reduction measures and technology into planning, project development, operations, and maintenance of transportation facilities, fleets, buildings, and equipment. </w:t>
      </w:r>
    </w:p>
    <w:p w:rsidR="005A21CA" w:rsidRPr="00267938" w:rsidRDefault="005A21CA" w:rsidP="005A21CA">
      <w:r w:rsidRPr="00267938">
        <w:t>The reasoning underlying the Climate Action Program is the conclusion that “the most effective approach to addressing GHG reduction, in the short-to-medium term, is strong technology policy and market mechanisms to encourage innovations. Rapid development and availability of alternative fuels and vehicles, increased efficiency in new cars and trucks (light and heavy duty), and super clean fuels are the most direct approach to reducing GHG emissions from motor vehicles (emission performance standards and fuel or carbon performance standards).”</w:t>
      </w:r>
      <w:r>
        <w:t xml:space="preserve"> </w:t>
      </w:r>
    </w:p>
    <w:p w:rsidR="005A21CA" w:rsidRPr="00267938" w:rsidRDefault="005A21CA" w:rsidP="005A21CA">
      <w:pPr>
        <w:pStyle w:val="Heading4"/>
      </w:pPr>
      <w:r w:rsidRPr="00267938">
        <w:t xml:space="preserve">Senate Bill 97 (SB 97) </w:t>
      </w:r>
    </w:p>
    <w:p w:rsidR="005A21CA" w:rsidRPr="00267938" w:rsidRDefault="005A21CA" w:rsidP="005A21CA">
      <w:r w:rsidRPr="00267938">
        <w:t xml:space="preserve">Senate Bill 97 (Chapter 185, 2007) required the Governor's Office of Planning and Research (OPR) to develop recommended amendments to the State CEQA Guidelines for addressing greenhouse gas emissions. OPR prepared its recommended amendments to the State CEQA Guidelines to provide guidance to public agencies regarding the analysis and mitigation of greenhouse gas emissions and the effects of greenhouse gas emissions in draft CEQA documents. The Amendments became effective on March 18, 2010. </w:t>
      </w:r>
    </w:p>
    <w:p w:rsidR="005A21CA" w:rsidRPr="00267938" w:rsidRDefault="005A21CA" w:rsidP="005A21CA">
      <w:pPr>
        <w:pStyle w:val="Heading4"/>
      </w:pPr>
      <w:r w:rsidRPr="00267938">
        <w:t>Senate Bill 375</w:t>
      </w:r>
    </w:p>
    <w:p w:rsidR="005A21CA" w:rsidRPr="00267938" w:rsidRDefault="005A21CA" w:rsidP="005A21CA">
      <w:r w:rsidRPr="00267938">
        <w:t>SB 375 requires the CARB to develop regional greenhouse gas emission reduction targets to be achieved from the automobile and light truck sectors for 2020 and 2035. The 18 MPOs in California will prepare a "sustainable communities strategy" to reduce the amount of greenhouse gas emission in their respective regions and demonstrate the ability for the region to attain CARB's reduction targets. CARB would later determine if each region is on track to meet their reduction targets. In addition, cities would get extra time -- eight years instead of five -- to update housing plans required by the state.</w:t>
      </w:r>
    </w:p>
    <w:p w:rsidR="005A21CA" w:rsidRPr="00267938" w:rsidRDefault="005A21CA" w:rsidP="005A21CA">
      <w:pPr>
        <w:pStyle w:val="Heading3"/>
        <w:tabs>
          <w:tab w:val="left" w:pos="3858"/>
        </w:tabs>
      </w:pPr>
      <w:r w:rsidRPr="00267938">
        <w:t>Local</w:t>
      </w:r>
    </w:p>
    <w:p w:rsidR="005A21CA" w:rsidRPr="00267938" w:rsidRDefault="005A21CA" w:rsidP="005A21CA">
      <w:pPr>
        <w:pStyle w:val="Heading4"/>
      </w:pPr>
      <w:bookmarkStart w:id="2" w:name="apcontrolboard"/>
      <w:bookmarkEnd w:id="2"/>
      <w:r w:rsidRPr="00267938">
        <w:t>Bay Area Air Quality Management District</w:t>
      </w:r>
    </w:p>
    <w:p w:rsidR="005A21CA" w:rsidRPr="00267938" w:rsidRDefault="005A21CA" w:rsidP="005A21CA">
      <w:r w:rsidRPr="00267938">
        <w:t xml:space="preserve">The Bay Area Air Quality Management District (BAAQMD) is the primary agency responsible for assuring that the National and California Ambient Air Quality Standards (NAAQS and CAAQS, respectively) are attained and maintained in the San Francisco Bay Area. The BAAQMD‘s jurisdiction includes all of Alameda, Contra Costa, Marin, Napa, San Francisco, San Mateo and Santa Clara counties, and the southern portions of Solano and Sonoma counties. The BAAQMD ‘s </w:t>
      </w:r>
      <w:r w:rsidRPr="00267938">
        <w:lastRenderedPageBreak/>
        <w:t xml:space="preserve">responsibilities in improving air quality in the region include: preparing plans for attaining and maintaining air quality standards; adopting and enforcing rules and regulations; issuing permits for stationary sources of air pollutants; inspecting stationary sources and responding to citizen complaints; monitoring air quality and meteorological conditions; awarding grants to reduce mobile emissions; implementing public outreach campaigns; and assisting local governments in addressing climate change. </w:t>
      </w:r>
    </w:p>
    <w:p w:rsidR="005A21CA" w:rsidRPr="00267938" w:rsidRDefault="005A21CA" w:rsidP="005A21CA">
      <w:r w:rsidRPr="00267938">
        <w:t>BAAQMD takes on various roles in the CEQA process, depending on the nature of the proposed project. For projects in the City of Cotati they generally serve as a Responsible or Commenting Agency as described below:</w:t>
      </w:r>
    </w:p>
    <w:p w:rsidR="005A21CA" w:rsidRPr="00267938" w:rsidRDefault="005A21CA" w:rsidP="005A21CA">
      <w:pPr>
        <w:numPr>
          <w:ilvl w:val="0"/>
          <w:numId w:val="23"/>
        </w:numPr>
      </w:pPr>
      <w:r w:rsidRPr="00267938">
        <w:t xml:space="preserve">Responsible Agency – BAAQMD acts as a Responsible Agency when it has limited discretionary authority over a portion of a project, but does not have the primary discretionary authority of a lead agency. As a Responsible Agency, BAAQMD may coordinate the environmental review process with the lead agency regarding BAAQMD‘s permitting process, provide comments to the lead agency regarding potential impacts, and recommend mitigation measures. </w:t>
      </w:r>
    </w:p>
    <w:p w:rsidR="005A21CA" w:rsidRPr="00267938" w:rsidRDefault="005A21CA" w:rsidP="005A21CA">
      <w:pPr>
        <w:numPr>
          <w:ilvl w:val="0"/>
          <w:numId w:val="23"/>
        </w:numPr>
      </w:pPr>
      <w:r w:rsidRPr="00267938">
        <w:t xml:space="preserve">Commenting Agency – BAAQMD may act as a Commenting Agency when it is not a Lead or Responsible Agency (i.e., it does not have discretionary authority over a project), but when it may have concerns about the air quality impacts of a proposed project or plan. As a Commenting Agency, BAAQMD may review environmental documents prepared for development proposals and plans in the region, such as local general plans, and provide comments to the lead agency regarding the adequacy of the air quality impact analysis, determination of significance, and mitigation measures proposed. </w:t>
      </w:r>
    </w:p>
    <w:p w:rsidR="005A21CA" w:rsidRPr="00A7060A" w:rsidRDefault="005A21CA" w:rsidP="005A21CA">
      <w:pPr>
        <w:pStyle w:val="Heading4"/>
      </w:pPr>
      <w:r w:rsidRPr="00A7060A">
        <w:t>BAAQMD CEQA Guidelines</w:t>
      </w:r>
    </w:p>
    <w:p w:rsidR="005A21CA" w:rsidRDefault="005A21CA" w:rsidP="005A21CA">
      <w:r w:rsidRPr="00A7060A">
        <w:t xml:space="preserve">The Bay Area Air Quality Management District (BAAQMD) has adopted California Environmental Quality Act (CEQA) Guidelines to assist lead agencies in evaluating air quality impacts of projects and plans proposed in the San Francisco Bay Area Air Basin (SFBAAB). The Guidelines contain instructions on how to evaluate, measure, and mitigate air quality impacts generated for project-level and plan-level activities. The Guidelines focus on criteria air pollutant, greenhouse gas (GHG), toxic air contaminant, and odor emissions generated from plans or projects. The Guidelines are intended to help lead agencies navigate through the CEQA process. The Guidelines offer step-by-step procedures for a thorough environmental impact analysis of adverse air emissions in the Bay Area. </w:t>
      </w:r>
    </w:p>
    <w:p w:rsidR="00552FCB" w:rsidRPr="00A7060A" w:rsidRDefault="00552FCB" w:rsidP="005A21CA">
      <w:r w:rsidRPr="00552FCB">
        <w:t xml:space="preserve">This assessment is based on BAAQMD’s 2010 CEQA </w:t>
      </w:r>
      <w:r w:rsidR="00A54EB1">
        <w:t>Guidelines</w:t>
      </w:r>
      <w:r w:rsidRPr="00552FCB">
        <w:t xml:space="preserve">. BAAQMD’s adoption of its 2010 </w:t>
      </w:r>
      <w:r w:rsidR="00A54EB1">
        <w:t>Guidelines</w:t>
      </w:r>
      <w:r w:rsidRPr="00552FCB">
        <w:t xml:space="preserve"> was overturned by an order issued March 5, 2012, in California Building Industry Association v. BAAQMD (Alameda Superior Court Case No. RGI0548693). The order requires BAAQMD to set aside its approval of the </w:t>
      </w:r>
      <w:r w:rsidR="00A54EB1">
        <w:t>Guidelines</w:t>
      </w:r>
      <w:r w:rsidRPr="00552FCB">
        <w:t xml:space="preserve"> until it has conducted environmental review under CEQA. The claims made in the case concerned the environmental impacts of adopting the </w:t>
      </w:r>
      <w:r w:rsidR="00A54EB1">
        <w:t>Guidelines</w:t>
      </w:r>
      <w:r w:rsidRPr="00552FCB">
        <w:t xml:space="preserve">, that is, how the </w:t>
      </w:r>
      <w:r w:rsidR="00A54EB1">
        <w:t>Guideline</w:t>
      </w:r>
      <w:r w:rsidRPr="00552FCB">
        <w:t xml:space="preserve">s would indirectly affect land use development patterns. Those issues are not relevant to the scientific basis of BAAQMD’s analysis of what levels of </w:t>
      </w:r>
      <w:r w:rsidRPr="00552FCB">
        <w:lastRenderedPageBreak/>
        <w:t xml:space="preserve">pollutants should be deemed significant. This assessment considers the science informing the </w:t>
      </w:r>
      <w:r w:rsidR="00A54EB1">
        <w:t>Guidelines</w:t>
      </w:r>
      <w:r w:rsidRPr="00552FCB">
        <w:t xml:space="preserve"> as being supported by substantial evidence. Scientific information supporting the thresholds was documented in BAAQMD’s proposed thresholds of significance analysis.  Accordingly, this assessment uses the 2010 </w:t>
      </w:r>
      <w:r w:rsidR="00A54EB1">
        <w:t>Guideline</w:t>
      </w:r>
      <w:r w:rsidRPr="00552FCB">
        <w:t>s and methodologies from BAAQMD’s May 2011 CEQA Air Quality Guidelines to determine the potential impacts of the project on the existing environment.</w:t>
      </w:r>
    </w:p>
    <w:p w:rsidR="005A21CA" w:rsidRPr="00267938" w:rsidRDefault="005A21CA" w:rsidP="005A21CA">
      <w:pPr>
        <w:pStyle w:val="Heading4"/>
      </w:pPr>
      <w:r w:rsidRPr="00267938">
        <w:t>Bay Area 2010 Clean Air Plan</w:t>
      </w:r>
    </w:p>
    <w:p w:rsidR="005A21CA" w:rsidRPr="00267938" w:rsidRDefault="005A21CA" w:rsidP="005A21CA">
      <w:r w:rsidRPr="00267938">
        <w:t xml:space="preserve">The Bay Area 2010 Clean Air Plan (CAP) provides a comprehensive plan to improve Bay Area air quality and protect public health. The 2010 CAP was been prepared in close collaboration with the Air District’s regional agency partners, and was informed by extensive outreach to the public and interested stakeholders. </w:t>
      </w:r>
    </w:p>
    <w:p w:rsidR="005A21CA" w:rsidRPr="00267938" w:rsidRDefault="005A21CA" w:rsidP="005A21CA">
      <w:r w:rsidRPr="00267938">
        <w:t xml:space="preserve">The CAP defines a control strategy that the Air District and its partners will implement to: (1) reduce emissions and decrease ambient concentrations of harmful pollutants; (2) safeguard public health by reducing exposure to air pollutants that pose the greatest health risk, with an emphasis on protecting the communities most heavily impacted by air pollution; and (3) reduce greenhouse gas (GHG) emissions to protect the climate. </w:t>
      </w:r>
    </w:p>
    <w:p w:rsidR="005A21CA" w:rsidRPr="00267938" w:rsidRDefault="005A21CA" w:rsidP="005A21CA">
      <w:r w:rsidRPr="00267938">
        <w:t>The legal impetus for the CAP is to update the most recent ozone plan, the Bay Area 2005 Ozone Strategy, to comply with state air quality planning requirements as codified in the California Health &amp; Safety Code. Although steady progress in reducing ozone levels in the Bay Area was made, the region is designated as non‐attainment for both the one‐hour and eight‐hour state ozone standards. In addition, emissions of ozone precursors in the Bay Area contribute to air quality problems in neighboring air basins. Under these circumstances, state law requires the CAP to include all feasible measures to reduce emissions of ozone precursors and to reduce transport of ozone precursors to neighboring air basins.</w:t>
      </w:r>
    </w:p>
    <w:p w:rsidR="005A21CA" w:rsidRPr="00267938" w:rsidRDefault="005A21CA" w:rsidP="005A21CA">
      <w:r w:rsidRPr="00267938">
        <w:t xml:space="preserve">The Bay Area was recently designated as non‐attainment for the national 24‐hour fine particulate matter (PM2.5) standard, and </w:t>
      </w:r>
      <w:r w:rsidR="000F64C7">
        <w:t>was</w:t>
      </w:r>
      <w:r w:rsidRPr="00267938">
        <w:t xml:space="preserve"> required to prepare a PM2.5 State Implementation Plan (SIP) pursuant to federal air quality guidelines by December 2012. The 2010 CAP is not a SIP document and does not respond to federal requirements for PM2.5 or ozone planning. However, in anticipation of future PM2.5 planning requirements, the CAP control strategy also aims to reduce PM emissions and concentrations. In addition, U.S. EPA is currently reevaluating national ozone standards, and is likely to tighten those standards in the near future. The control measures in the CAP will also help in the Bay Area’s continuing effort to attain national ozone standards.</w:t>
      </w:r>
    </w:p>
    <w:p w:rsidR="005A21CA" w:rsidRPr="00267938" w:rsidRDefault="005A21CA" w:rsidP="005A21CA">
      <w:pPr>
        <w:pStyle w:val="Heading4"/>
      </w:pPr>
      <w:r w:rsidRPr="00267938">
        <w:t>Cities for Climate Protection Program</w:t>
      </w:r>
    </w:p>
    <w:p w:rsidR="005A21CA" w:rsidRPr="00267938" w:rsidRDefault="005A21CA" w:rsidP="005A21CA">
      <w:r w:rsidRPr="00267938">
        <w:t>The City of Cotati passed Resolution 02-21 in April 2002 endorsing the Cities for Climate Protection Campaign which includes a five milestone program to reduce greenhouse gas and air pollution emissions. The five milestones are as follows:</w:t>
      </w:r>
    </w:p>
    <w:p w:rsidR="005A21CA" w:rsidRPr="00267938" w:rsidRDefault="005A21CA" w:rsidP="005A21CA">
      <w:pPr>
        <w:numPr>
          <w:ilvl w:val="0"/>
          <w:numId w:val="20"/>
        </w:numPr>
        <w:spacing w:after="0" w:line="240" w:lineRule="auto"/>
      </w:pPr>
      <w:r w:rsidRPr="00267938">
        <w:t>Conduct a baseline greenhouse gas emissions inventory and forecast to determine the sources and quantity of greenhouse gas emissions in the jurisdiction;</w:t>
      </w:r>
    </w:p>
    <w:p w:rsidR="005A21CA" w:rsidRPr="00267938" w:rsidRDefault="005A21CA" w:rsidP="005A21CA">
      <w:pPr>
        <w:numPr>
          <w:ilvl w:val="0"/>
          <w:numId w:val="20"/>
        </w:numPr>
        <w:spacing w:after="0" w:line="240" w:lineRule="auto"/>
      </w:pPr>
      <w:r w:rsidRPr="00267938">
        <w:lastRenderedPageBreak/>
        <w:t>Establish a greenhouse gas emissions reduction target;</w:t>
      </w:r>
    </w:p>
    <w:p w:rsidR="005A21CA" w:rsidRPr="00267938" w:rsidRDefault="005A21CA" w:rsidP="005A21CA">
      <w:pPr>
        <w:numPr>
          <w:ilvl w:val="0"/>
          <w:numId w:val="20"/>
        </w:numPr>
        <w:spacing w:after="0" w:line="240" w:lineRule="auto"/>
      </w:pPr>
      <w:r w:rsidRPr="00267938">
        <w:t>Develop a climate action plan consisting of both existing and future actions which, when implemented, will meet the local greenhouse gas reduction target;</w:t>
      </w:r>
    </w:p>
    <w:p w:rsidR="005A21CA" w:rsidRPr="00267938" w:rsidRDefault="005A21CA" w:rsidP="005A21CA">
      <w:pPr>
        <w:numPr>
          <w:ilvl w:val="0"/>
          <w:numId w:val="20"/>
        </w:numPr>
        <w:spacing w:after="0" w:line="240" w:lineRule="auto"/>
      </w:pPr>
      <w:r w:rsidRPr="00267938">
        <w:t>Implement the action plan; and</w:t>
      </w:r>
    </w:p>
    <w:p w:rsidR="005A21CA" w:rsidRPr="00267938" w:rsidRDefault="005A21CA" w:rsidP="005A21CA">
      <w:pPr>
        <w:numPr>
          <w:ilvl w:val="0"/>
          <w:numId w:val="20"/>
        </w:numPr>
        <w:spacing w:line="240" w:lineRule="auto"/>
      </w:pPr>
      <w:r w:rsidRPr="00267938">
        <w:t>Monitor and report progress.</w:t>
      </w:r>
    </w:p>
    <w:p w:rsidR="005A21CA" w:rsidRPr="00267938" w:rsidRDefault="005A21CA" w:rsidP="005A21CA">
      <w:r w:rsidRPr="00267938">
        <w:t>The City fulfilled these five milestones as follows:</w:t>
      </w:r>
    </w:p>
    <w:p w:rsidR="005A21CA" w:rsidRPr="00267938" w:rsidRDefault="005A21CA" w:rsidP="005A21CA">
      <w:pPr>
        <w:numPr>
          <w:ilvl w:val="0"/>
          <w:numId w:val="21"/>
        </w:numPr>
        <w:spacing w:after="0" w:line="240" w:lineRule="auto"/>
      </w:pPr>
      <w:r w:rsidRPr="00267938">
        <w:t xml:space="preserve">In September 2003 the City reported their municipal baseline emissions in </w:t>
      </w:r>
      <w:r w:rsidRPr="00267938">
        <w:rPr>
          <w:i/>
        </w:rPr>
        <w:t>Standing Together for the Future: Greenhouse Gas Emission Inventories for Eight Cities in Sonoma County, California</w:t>
      </w:r>
      <w:r w:rsidRPr="00267938">
        <w:t xml:space="preserve">. </w:t>
      </w:r>
    </w:p>
    <w:p w:rsidR="005A21CA" w:rsidRPr="00267938" w:rsidRDefault="005A21CA" w:rsidP="005A21CA">
      <w:pPr>
        <w:numPr>
          <w:ilvl w:val="0"/>
          <w:numId w:val="21"/>
        </w:numPr>
        <w:spacing w:after="0" w:line="240" w:lineRule="auto"/>
      </w:pPr>
      <w:r w:rsidRPr="00267938">
        <w:t xml:space="preserve">In October 2004 the City passed Resolution 04-88, which adopted a goal of a 20% Reduction in Greenhouse Gas Emissions from City of Cotati Municipal Operations from 2000 to 2010. In August 2005 the City adopted Resolution 05-66 which established a community-wide reduction goal of 30 percent below 1990 levels by 2015. </w:t>
      </w:r>
    </w:p>
    <w:p w:rsidR="005A21CA" w:rsidRPr="00267938" w:rsidRDefault="005A21CA" w:rsidP="005A21CA">
      <w:pPr>
        <w:numPr>
          <w:ilvl w:val="0"/>
          <w:numId w:val="21"/>
        </w:numPr>
        <w:spacing w:after="0" w:line="240" w:lineRule="auto"/>
      </w:pPr>
      <w:r w:rsidRPr="00267938">
        <w:t xml:space="preserve">In May 2008 the City finalized the City of Cotati Greenhouse Gas Emissions Reduction Action Plan Analysis. </w:t>
      </w:r>
    </w:p>
    <w:p w:rsidR="005A21CA" w:rsidRPr="00267938" w:rsidRDefault="005A21CA" w:rsidP="005A21CA">
      <w:pPr>
        <w:numPr>
          <w:ilvl w:val="0"/>
          <w:numId w:val="21"/>
        </w:numPr>
        <w:spacing w:after="0" w:line="240" w:lineRule="auto"/>
      </w:pPr>
      <w:r w:rsidRPr="00267938">
        <w:t xml:space="preserve">The City continues to take actions in accordance with their plans and programs that support the reduction of greenhouse gas emissions. </w:t>
      </w:r>
    </w:p>
    <w:p w:rsidR="005A21CA" w:rsidRPr="00267938" w:rsidRDefault="005A21CA" w:rsidP="005A21CA">
      <w:pPr>
        <w:pStyle w:val="Heading4"/>
      </w:pPr>
      <w:r w:rsidRPr="00267938">
        <w:t>City of Cotati Greenhouse Gas Emissions Reduction Action Plan Analysis</w:t>
      </w:r>
    </w:p>
    <w:p w:rsidR="005A21CA" w:rsidRPr="00267938" w:rsidRDefault="005A21CA" w:rsidP="005A21CA">
      <w:r w:rsidRPr="00267938">
        <w:t xml:space="preserve">The City of Cotati developed a Greenhouse Gas Emissions Reduction Action Plan Analysis as a way to reduce GHG emissions, reduce energy costs, address equipment problems, and reduce the uncertainty of the city’s future annual energy costs. </w:t>
      </w:r>
    </w:p>
    <w:p w:rsidR="005A21CA" w:rsidRPr="00267938" w:rsidRDefault="005A21CA" w:rsidP="005A21CA">
      <w:pPr>
        <w:pStyle w:val="Heading4"/>
      </w:pPr>
      <w:r w:rsidRPr="00267938">
        <w:t>CALGreen</w:t>
      </w:r>
    </w:p>
    <w:p w:rsidR="005A21CA" w:rsidRPr="00267938" w:rsidRDefault="005A21CA" w:rsidP="005A21CA">
      <w:r w:rsidRPr="00267938">
        <w:t>CALGreen is a set of mandatory green building standards for new construction that went into effect throughout California on January 1, 2011</w:t>
      </w:r>
      <w:r w:rsidR="00873887">
        <w:t xml:space="preserve"> and continued with the triennial update of the Uniform Building Code in 2013, which the City Council adopted on November 12, 2013</w:t>
      </w:r>
      <w:r w:rsidRPr="00267938">
        <w:t xml:space="preserve">. These building standards apply to all new public </w:t>
      </w:r>
      <w:r w:rsidR="00873887">
        <w:t xml:space="preserve">and significantly altered </w:t>
      </w:r>
      <w:r w:rsidRPr="00267938">
        <w:t xml:space="preserve">privately-constructed commercial and residential buildings. CALGreen is referred to officially as the </w:t>
      </w:r>
      <w:hyperlink r:id="rId9" w:history="1">
        <w:r w:rsidRPr="00267938">
          <w:t>California Green Building Standards Code</w:t>
        </w:r>
      </w:hyperlink>
      <w:r w:rsidRPr="00267938">
        <w:t xml:space="preserve"> and includes a matrix of mandatory requirements tailored to residential and non-residential building classifications, as well as two sets of voluntary measures (CALGreen Tier 1 and Tier 2) that provide a host of more stringent sustainable building practices and features. Among the key mandatory provisions are requirements that new buildings:</w:t>
      </w:r>
    </w:p>
    <w:p w:rsidR="005A21CA" w:rsidRPr="00267938" w:rsidRDefault="005A21CA" w:rsidP="005A21CA">
      <w:pPr>
        <w:numPr>
          <w:ilvl w:val="0"/>
          <w:numId w:val="24"/>
        </w:numPr>
      </w:pPr>
      <w:r w:rsidRPr="00267938">
        <w:t>reduce indoor potable water use by at least 20% below current standards;</w:t>
      </w:r>
    </w:p>
    <w:p w:rsidR="005A21CA" w:rsidRPr="00267938" w:rsidRDefault="005A21CA" w:rsidP="005A21CA">
      <w:pPr>
        <w:numPr>
          <w:ilvl w:val="0"/>
          <w:numId w:val="24"/>
        </w:numPr>
      </w:pPr>
      <w:r w:rsidRPr="00267938">
        <w:t>recycle or salvage at least 50% of construction waste;</w:t>
      </w:r>
    </w:p>
    <w:p w:rsidR="005A21CA" w:rsidRPr="00267938" w:rsidRDefault="005A21CA" w:rsidP="005A21CA">
      <w:pPr>
        <w:numPr>
          <w:ilvl w:val="0"/>
          <w:numId w:val="24"/>
        </w:numPr>
      </w:pPr>
      <w:r w:rsidRPr="00267938">
        <w:t>utilize low VOC-emitting finish materials and flooring systems;</w:t>
      </w:r>
    </w:p>
    <w:p w:rsidR="005A21CA" w:rsidRPr="00267938" w:rsidRDefault="005A21CA" w:rsidP="005A21CA">
      <w:pPr>
        <w:numPr>
          <w:ilvl w:val="0"/>
          <w:numId w:val="24"/>
        </w:numPr>
      </w:pPr>
      <w:r w:rsidRPr="00267938">
        <w:t>install separate water meters tracking non-residential buildings’ indoor and outdoor water use;</w:t>
      </w:r>
    </w:p>
    <w:p w:rsidR="005A21CA" w:rsidRPr="00267938" w:rsidRDefault="005A21CA" w:rsidP="005A21CA">
      <w:pPr>
        <w:numPr>
          <w:ilvl w:val="0"/>
          <w:numId w:val="24"/>
        </w:numPr>
      </w:pPr>
      <w:r w:rsidRPr="00267938">
        <w:t>utilize moisture-sensing irrigation systems for larger landscape areas;</w:t>
      </w:r>
    </w:p>
    <w:p w:rsidR="005A21CA" w:rsidRPr="00267938" w:rsidRDefault="005A21CA" w:rsidP="005A21CA">
      <w:pPr>
        <w:numPr>
          <w:ilvl w:val="0"/>
          <w:numId w:val="24"/>
        </w:numPr>
      </w:pPr>
      <w:r w:rsidRPr="00267938">
        <w:lastRenderedPageBreak/>
        <w:t>receive mandatory inspections by local officials of building energy systems, such as HVAC and mechanical equipment, to verify performance in accordance with specifications in non-residential buildings exceeding 10,000 square feet; and</w:t>
      </w:r>
    </w:p>
    <w:p w:rsidR="005A21CA" w:rsidRPr="00267938" w:rsidRDefault="005A21CA" w:rsidP="005A21CA">
      <w:pPr>
        <w:numPr>
          <w:ilvl w:val="0"/>
          <w:numId w:val="24"/>
        </w:numPr>
      </w:pPr>
      <w:r w:rsidRPr="00267938">
        <w:t>earmark parking for fuel-efficient and carpool vehicles.</w:t>
      </w:r>
    </w:p>
    <w:p w:rsidR="005A21CA" w:rsidRPr="00267938" w:rsidRDefault="005A21CA" w:rsidP="005A21CA">
      <w:r w:rsidRPr="00267938">
        <w:t xml:space="preserve">Cotati's City Council rescinded Cotati's Sustainable Building Program and replaced it with CALGreen Mandatory Tier 1, which includes a detailed list of green building features that address energy efficiency, water efficiency, waste reduction, material conservation and indoor air quality. The requirements apply to newly constructed </w:t>
      </w:r>
      <w:r w:rsidR="00873887">
        <w:t xml:space="preserve">and significantly altered </w:t>
      </w:r>
      <w:r w:rsidRPr="00267938">
        <w:t>residential and non-residential facilities. Additions, alterations, repairs and existing structures may be subject to the requirements of CALGreen. Existing site and landscaping improvements that are not otherwise disturbed are not subject to the requirements of CALGreen.</w:t>
      </w:r>
    </w:p>
    <w:p w:rsidR="005A21CA" w:rsidRPr="00267938" w:rsidRDefault="005A21CA" w:rsidP="005A21CA">
      <w:pPr>
        <w:pStyle w:val="Heading4"/>
      </w:pPr>
      <w:r w:rsidRPr="00267938">
        <w:t>Water Conservation Program</w:t>
      </w:r>
    </w:p>
    <w:p w:rsidR="005A21CA" w:rsidRDefault="005A21CA" w:rsidP="005A21CA">
      <w:r w:rsidRPr="00267938">
        <w:t>The City of Coati developed a Water Conservation Program in 2003 that includes free indoor/outdoor water use surveys, free efficiency showerheads and faucet aerators, residential clothes washer rebate program, residential and nonresidential toilet replacement program, and education on outdoor water conservation and watershed protection. Additionally, the City implemented the Cash for Grass Turf rebate program where the City offers residential and commercial customers rebates in return for reducing the amount of lawn area in their landscapes and replacing with low water use landscapes. Ancillary benefits to the water conservation program includes electricity savings at the City's water and wastewater facilities.</w:t>
      </w:r>
      <w:r w:rsidRPr="00550075">
        <w:t xml:space="preserve"> </w:t>
      </w:r>
    </w:p>
    <w:p w:rsidR="005A21CA" w:rsidRPr="000C108F" w:rsidRDefault="005A21CA" w:rsidP="005A21CA">
      <w:pPr>
        <w:pStyle w:val="Heading2"/>
      </w:pPr>
      <w:r>
        <w:t>3.2</w:t>
      </w:r>
      <w:r w:rsidRPr="000C108F">
        <w:t>.3 Impacts and Mitigation Measures</w:t>
      </w:r>
    </w:p>
    <w:p w:rsidR="005A21CA" w:rsidRPr="000C108F" w:rsidRDefault="005A21CA" w:rsidP="005A21CA">
      <w:pPr>
        <w:pStyle w:val="Heading3"/>
      </w:pPr>
      <w:r w:rsidRPr="000C108F">
        <w:t>Thresholds of Significance</w:t>
      </w:r>
    </w:p>
    <w:p w:rsidR="005A21CA" w:rsidRPr="000C108F" w:rsidRDefault="005A21CA" w:rsidP="005A21CA">
      <w:r w:rsidRPr="000C108F">
        <w:t xml:space="preserve">Consistent with the </w:t>
      </w:r>
      <w:r w:rsidR="000F64C7">
        <w:t xml:space="preserve">2010 </w:t>
      </w:r>
      <w:r w:rsidRPr="000C108F">
        <w:t>Bay Area Air Quality Management District CEQA Guidelines, the proposed project will have a significant impact on the environment associated with air quality if it will:</w:t>
      </w:r>
    </w:p>
    <w:p w:rsidR="005A21CA" w:rsidRPr="00051077" w:rsidRDefault="005A21CA" w:rsidP="005A21CA">
      <w:pPr>
        <w:pStyle w:val="ListBullet"/>
      </w:pPr>
      <w:r w:rsidRPr="000C108F">
        <w:t>Conflict with or obstruct implementation</w:t>
      </w:r>
      <w:r w:rsidRPr="00051077">
        <w:t xml:space="preserve"> of the applicable air quality plan;</w:t>
      </w:r>
    </w:p>
    <w:p w:rsidR="005A21CA" w:rsidRPr="00051077" w:rsidRDefault="005A21CA" w:rsidP="005A21CA">
      <w:pPr>
        <w:pStyle w:val="ListBullet"/>
      </w:pPr>
      <w:r>
        <w:t>Cause health risks associated with toxic air contaminants;</w:t>
      </w:r>
    </w:p>
    <w:p w:rsidR="005A21CA" w:rsidRDefault="005A21CA" w:rsidP="005A21CA">
      <w:pPr>
        <w:pStyle w:val="ListBullet"/>
      </w:pPr>
      <w:r w:rsidRPr="00051077">
        <w:t>Create objectionable odors</w:t>
      </w:r>
      <w:r>
        <w:t>;</w:t>
      </w:r>
    </w:p>
    <w:p w:rsidR="005A21CA" w:rsidRDefault="005A21CA" w:rsidP="005A21CA">
      <w:pPr>
        <w:pStyle w:val="ListBullet"/>
      </w:pPr>
      <w:r>
        <w:t>Conflict with regional plans.</w:t>
      </w:r>
    </w:p>
    <w:p w:rsidR="005A21CA" w:rsidRDefault="005A21CA" w:rsidP="005A21CA">
      <w:r>
        <w:t>(Note: Greenhouse gas emissions are addressed in a separate chapter of this EIR.)</w:t>
      </w:r>
    </w:p>
    <w:p w:rsidR="000F64C7" w:rsidRDefault="000F64C7">
      <w:pPr>
        <w:spacing w:after="0" w:line="240" w:lineRule="auto"/>
        <w:jc w:val="left"/>
        <w:rPr>
          <w:rFonts w:ascii="Cambria" w:hAnsi="Cambria"/>
          <w:smallCaps/>
          <w:spacing w:val="20"/>
          <w:sz w:val="30"/>
          <w:szCs w:val="30"/>
        </w:rPr>
      </w:pPr>
      <w:r>
        <w:br w:type="page"/>
      </w:r>
    </w:p>
    <w:p w:rsidR="005A21CA" w:rsidRPr="000C108F" w:rsidRDefault="005A21CA" w:rsidP="005A21CA">
      <w:pPr>
        <w:pStyle w:val="Heading3"/>
      </w:pPr>
      <w:r w:rsidRPr="000C108F">
        <w:lastRenderedPageBreak/>
        <w:t>Impacts and Mitigation Measures</w:t>
      </w:r>
    </w:p>
    <w:p w:rsidR="005A21CA" w:rsidRPr="000C108F" w:rsidRDefault="005A21CA" w:rsidP="005A21CA">
      <w:pPr>
        <w:pStyle w:val="Heading4"/>
      </w:pPr>
      <w:r w:rsidRPr="000C108F">
        <w:t xml:space="preserve">Impact </w:t>
      </w:r>
      <w:r>
        <w:t>3.2</w:t>
      </w:r>
      <w:r w:rsidRPr="000C108F">
        <w:t xml:space="preserve">-1: </w:t>
      </w:r>
      <w:r w:rsidRPr="00CF50C0">
        <w:t>The General Plan would not conflict with or obstruct implementation of the applicable air quality plan</w:t>
      </w:r>
      <w:r>
        <w:t xml:space="preserve"> </w:t>
      </w:r>
      <w:r w:rsidRPr="00CF50C0">
        <w:t>(Less than Significant)</w:t>
      </w:r>
    </w:p>
    <w:p w:rsidR="005A21CA" w:rsidRPr="000C108F" w:rsidRDefault="005A21CA" w:rsidP="005A21CA">
      <w:r w:rsidRPr="000C108F">
        <w:t xml:space="preserve">CEQA requires lead agencies to determine whether a project is consistent with all applicable air quality plans. The Bay Area Air Quality District’s most current plan is the 2010 Clean Air Plan. The BAAQMD CEQA Guidelines recommends that lead agencies consider the following questions relative to this consistency determination: </w:t>
      </w:r>
    </w:p>
    <w:p w:rsidR="005A21CA" w:rsidRPr="000C108F" w:rsidRDefault="005A21CA" w:rsidP="005A21CA">
      <w:pPr>
        <w:pStyle w:val="ColorfulList-Accent11"/>
        <w:numPr>
          <w:ilvl w:val="0"/>
          <w:numId w:val="26"/>
        </w:numPr>
      </w:pPr>
      <w:r w:rsidRPr="000C108F">
        <w:t xml:space="preserve">Does the project support the primary goals of the 2010 Clean Air Plan? </w:t>
      </w:r>
    </w:p>
    <w:p w:rsidR="005A21CA" w:rsidRPr="000C108F" w:rsidRDefault="005A21CA" w:rsidP="005A21CA">
      <w:pPr>
        <w:pStyle w:val="ColorfulList-Accent11"/>
        <w:numPr>
          <w:ilvl w:val="0"/>
          <w:numId w:val="26"/>
        </w:numPr>
      </w:pPr>
      <w:r w:rsidRPr="000C108F">
        <w:t>Does the project include applicable control measures from the 2010 Clean Air Plan?</w:t>
      </w:r>
    </w:p>
    <w:p w:rsidR="005A21CA" w:rsidRPr="000C108F" w:rsidRDefault="005A21CA" w:rsidP="005A21CA">
      <w:pPr>
        <w:pStyle w:val="ColorfulList-Accent11"/>
        <w:numPr>
          <w:ilvl w:val="0"/>
          <w:numId w:val="26"/>
        </w:numPr>
      </w:pPr>
      <w:r w:rsidRPr="000C108F">
        <w:t>Does the project disrupt or hinder implementation of any 2010 Clean Air Plan control measures?</w:t>
      </w:r>
    </w:p>
    <w:p w:rsidR="005A21CA" w:rsidRPr="000C108F" w:rsidRDefault="005A21CA" w:rsidP="005A21CA">
      <w:r w:rsidRPr="000C108F">
        <w:t xml:space="preserve">The primary goals of the 2010 Clean Air Plan are to: </w:t>
      </w:r>
    </w:p>
    <w:p w:rsidR="005A21CA" w:rsidRPr="000C108F" w:rsidRDefault="005A21CA" w:rsidP="005A21CA">
      <w:pPr>
        <w:pStyle w:val="ListBullet"/>
      </w:pPr>
      <w:r w:rsidRPr="000C108F">
        <w:t xml:space="preserve">Attain air quality standards; </w:t>
      </w:r>
    </w:p>
    <w:p w:rsidR="005A21CA" w:rsidRPr="000C108F" w:rsidRDefault="005A21CA" w:rsidP="005A21CA">
      <w:pPr>
        <w:pStyle w:val="ListBullet"/>
      </w:pPr>
      <w:r w:rsidRPr="000C108F">
        <w:t xml:space="preserve">Reduce population exposure and protect public health in the Bay Area; and </w:t>
      </w:r>
    </w:p>
    <w:p w:rsidR="005A21CA" w:rsidRPr="000C108F" w:rsidRDefault="005A21CA" w:rsidP="005A21CA">
      <w:pPr>
        <w:pStyle w:val="ListBullet"/>
      </w:pPr>
      <w:r w:rsidRPr="000C108F">
        <w:t xml:space="preserve">Reduce greenhouse gas emissions and protect the climate. </w:t>
      </w:r>
    </w:p>
    <w:p w:rsidR="005A21CA" w:rsidRDefault="005A21CA" w:rsidP="005A21CA">
      <w:r>
        <w:t xml:space="preserve">The 2010 Clean Air Plan’s first primary goal is to protect air quality. </w:t>
      </w:r>
      <w:r w:rsidRPr="000C108F">
        <w:t xml:space="preserve">The 2010 Clean Air Plan contains 55 control measures aimed at reducing air pollution in the Bay Area. Along with the traditional stationary, area, mobile source and transportation control measures, the 2010 Clean Air Plan contains a number of new control measures designed to protect the climate and promote mixed use, compact development to reduce vehicle emissions and exposure to pollutants from stationary and mobile sources. </w:t>
      </w:r>
      <w:r w:rsidRPr="00A7060A">
        <w:t xml:space="preserve">The BAAQMD encourages lead agencies to incorporate these Land Use and Local Impact (LUM) measures and Energy and Climate measures (ECM) into proposed project designs and plan elements. </w:t>
      </w:r>
    </w:p>
    <w:p w:rsidR="005A21CA" w:rsidRDefault="005A21CA" w:rsidP="005A21CA">
      <w:r>
        <w:t xml:space="preserve">The 2013 Cotati </w:t>
      </w:r>
      <w:r w:rsidRPr="006D12D0">
        <w:t>General Plan Conservation Element includes a</w:t>
      </w:r>
      <w:r>
        <w:t>n</w:t>
      </w:r>
      <w:r w:rsidRPr="006D12D0">
        <w:t xml:space="preserve"> extensive list of policies and action measures that are specifically aimed at </w:t>
      </w:r>
      <w:r>
        <w:t>improving air quality</w:t>
      </w:r>
      <w:r w:rsidRPr="006D12D0">
        <w:t>. These policies and action measures</w:t>
      </w:r>
      <w:r>
        <w:t xml:space="preserve">, which are </w:t>
      </w:r>
      <w:r w:rsidRPr="006D12D0">
        <w:t>presented below</w:t>
      </w:r>
      <w:r>
        <w:t>, are consistent with the intent of the BAAQMD’s control measures.  Additionally, the General Plan Land Use Element and Land Use Map provides further implementation of the BAAQMD’s control measures by promoting a compact urban development form, emphasizing infill development, and ensuring that land use patterns to not expose sensitive receptors to pollutant concentrations.</w:t>
      </w:r>
    </w:p>
    <w:p w:rsidR="005A21CA" w:rsidRDefault="005A21CA" w:rsidP="005A21CA">
      <w:r>
        <w:t xml:space="preserve">Additionally, the Circulation Element includes a wide range of policies and action items that would effectively reduce vehicle miles travelled throughout the Planning Area, through the use of complete streets and multi-modal transportation systems.  These applicable policies and actions items are described in greater detail in Section 3.12, Transportation and Circulation.  </w:t>
      </w:r>
    </w:p>
    <w:p w:rsidR="005A21CA" w:rsidRPr="00B345E4" w:rsidRDefault="005A21CA" w:rsidP="005A21CA">
      <w:pPr>
        <w:rPr>
          <w:highlight w:val="yellow"/>
        </w:rPr>
      </w:pPr>
      <w:r>
        <w:t xml:space="preserve">The policies and action items included throughout the 2013 Cotati General Plan, most specifically within the Conservation, Land Use, and Circulation Elements, cover the full breadth of air quality issues as recommended in the 2010 Clean Air Plan. </w:t>
      </w:r>
      <w:r w:rsidRPr="006D12D0">
        <w:t xml:space="preserve">The 2010 Clean Air Plan’s second primary goal </w:t>
      </w:r>
      <w:r w:rsidRPr="006D12D0">
        <w:lastRenderedPageBreak/>
        <w:t xml:space="preserve">is to address public health.  The 2010 Clean Air Plan addresses public health through identifying control measures to maximize the reduction in population exposure to air pollutants and by including a category titled Land Use and Local Impacts Measures that is intended to address localized impacts of air pollution and to help local jurisdictions to pursue transit-oriented infill development in priority areas.  </w:t>
      </w:r>
    </w:p>
    <w:p w:rsidR="005A21CA" w:rsidRDefault="005A21CA" w:rsidP="005A21CA">
      <w:r w:rsidRPr="006D12D0">
        <w:t xml:space="preserve">The 2010 Clean Air Plan’s final primary goal of protecting the climate is to reduce greenhouse gases to protect the climate.  </w:t>
      </w:r>
      <w:r>
        <w:t xml:space="preserve">The </w:t>
      </w:r>
      <w:r w:rsidRPr="006D12D0">
        <w:t>General Plan Conservation Element includes a</w:t>
      </w:r>
      <w:r>
        <w:t>n</w:t>
      </w:r>
      <w:r w:rsidRPr="006D12D0">
        <w:t xml:space="preserve"> extensive list of policies and action measures that are specifically aimed at reducing greenhouse gas emissions/climate change. These policies and action measures are presented below and discussed </w:t>
      </w:r>
      <w:r>
        <w:t>in more detail in Section 3.6</w:t>
      </w:r>
      <w:r w:rsidRPr="006D12D0">
        <w:t xml:space="preserve"> Greenhouse Gas Emission</w:t>
      </w:r>
      <w:r>
        <w:t>s</w:t>
      </w:r>
      <w:r w:rsidRPr="006D12D0">
        <w:t xml:space="preserve">. </w:t>
      </w:r>
    </w:p>
    <w:p w:rsidR="005A21CA" w:rsidRPr="004108D9" w:rsidRDefault="005A21CA" w:rsidP="005A21CA">
      <w:r w:rsidRPr="00A7060A">
        <w:t xml:space="preserve">If approval of </w:t>
      </w:r>
      <w:r>
        <w:t>the General Plan</w:t>
      </w:r>
      <w:r w:rsidRPr="00A7060A">
        <w:t xml:space="preserve"> would not cause the disruption, delay or otherwise hinder the implementation of any air quality plan control measure, it may be considered consistent with the 2010 CAP. </w:t>
      </w:r>
      <w:r>
        <w:t xml:space="preserve">The General Plan does not </w:t>
      </w:r>
      <w:r w:rsidRPr="00A7060A">
        <w:t>cause the disruption, delay or otherwise hinder the implementation of any air quality plan control measure</w:t>
      </w:r>
      <w:r>
        <w:t xml:space="preserve">; therefore, it is consistent with the 2010 CAP. Implementation of the General Plan, with the following policies and action items, would have a </w:t>
      </w:r>
      <w:r w:rsidRPr="0078566D">
        <w:rPr>
          <w:b/>
        </w:rPr>
        <w:t>less than significant</w:t>
      </w:r>
      <w:r>
        <w:t xml:space="preserve"> impact relative to this topic.</w:t>
      </w:r>
    </w:p>
    <w:p w:rsidR="005A21CA" w:rsidRPr="000719FE" w:rsidRDefault="005A21CA" w:rsidP="005A21CA">
      <w:pPr>
        <w:pStyle w:val="Heading5"/>
        <w:spacing w:after="120"/>
        <w:rPr>
          <w:b/>
          <w:sz w:val="24"/>
        </w:rPr>
      </w:pPr>
      <w:r w:rsidRPr="000719FE">
        <w:rPr>
          <w:b/>
          <w:sz w:val="24"/>
        </w:rPr>
        <w:t>2013 General Plan Policies and Actions that Mitigate Potential Impacts</w:t>
      </w:r>
    </w:p>
    <w:p w:rsidR="005A21CA" w:rsidRPr="00F554F0" w:rsidRDefault="005A21CA" w:rsidP="005A21CA">
      <w:pPr>
        <w:rPr>
          <w:i/>
          <w:u w:val="single"/>
        </w:rPr>
      </w:pPr>
      <w:r>
        <w:rPr>
          <w:i/>
          <w:u w:val="single"/>
        </w:rPr>
        <w:t>Policies</w:t>
      </w:r>
    </w:p>
    <w:p w:rsidR="005A21CA" w:rsidRPr="00F554F0" w:rsidRDefault="005A21CA" w:rsidP="005A21CA">
      <w:pPr>
        <w:pStyle w:val="Policy"/>
        <w:tabs>
          <w:tab w:val="clear" w:pos="720"/>
        </w:tabs>
        <w:ind w:left="0"/>
        <w:rPr>
          <w:b/>
          <w:i/>
        </w:rPr>
      </w:pPr>
      <w:r w:rsidRPr="00F554F0">
        <w:rPr>
          <w:rFonts w:eastAsia="Calibri"/>
          <w:b/>
          <w:i/>
        </w:rPr>
        <w:t>Policy CON 2.1:</w:t>
      </w:r>
      <w:r w:rsidRPr="00F554F0">
        <w:rPr>
          <w:b/>
          <w:i/>
        </w:rPr>
        <w:t xml:space="preserve"> </w:t>
      </w:r>
      <w:r w:rsidRPr="00F554F0">
        <w:rPr>
          <w:i/>
        </w:rPr>
        <w:t>Improve air quality through continuing to require a compact development pattern that focuses growth in and around existing urbanized areas, locating new housing near places of employment, encouraging alternative modes of transportation, and requiring projects to mitigate significant air quality impacts.</w:t>
      </w:r>
      <w:r w:rsidRPr="00F554F0">
        <w:rPr>
          <w:b/>
          <w:i/>
        </w:rPr>
        <w:t xml:space="preserve"> </w:t>
      </w:r>
    </w:p>
    <w:p w:rsidR="005A21CA" w:rsidRPr="00F554F0" w:rsidRDefault="005A21CA" w:rsidP="005A21CA">
      <w:pPr>
        <w:pStyle w:val="Policy"/>
        <w:ind w:left="0"/>
        <w:rPr>
          <w:rFonts w:eastAsia="Calibri"/>
          <w:bCs w:val="0"/>
          <w:i/>
          <w:szCs w:val="22"/>
        </w:rPr>
      </w:pPr>
      <w:r w:rsidRPr="00F554F0">
        <w:rPr>
          <w:rFonts w:eastAsia="Calibri"/>
          <w:b/>
          <w:bCs w:val="0"/>
          <w:i/>
          <w:szCs w:val="22"/>
        </w:rPr>
        <w:t xml:space="preserve">Policy CON 2.2: </w:t>
      </w:r>
      <w:r w:rsidRPr="00F554F0">
        <w:rPr>
          <w:rFonts w:eastAsia="Calibri"/>
          <w:bCs w:val="0"/>
          <w:i/>
          <w:szCs w:val="22"/>
        </w:rPr>
        <w:t xml:space="preserve">Minimize exposure of sensitive receptors to concentrations of air pollutant emissions and toxic air contaminants. </w:t>
      </w:r>
    </w:p>
    <w:p w:rsidR="005A21CA" w:rsidRPr="00F554F0" w:rsidRDefault="005A21CA" w:rsidP="005A21CA">
      <w:pPr>
        <w:pStyle w:val="Policy"/>
        <w:ind w:left="0"/>
        <w:rPr>
          <w:i/>
        </w:rPr>
      </w:pPr>
      <w:r w:rsidRPr="00F554F0">
        <w:rPr>
          <w:rFonts w:eastAsia="Calibri"/>
          <w:b/>
          <w:bCs w:val="0"/>
          <w:i/>
          <w:szCs w:val="22"/>
        </w:rPr>
        <w:t>Policy CON 2.3:</w:t>
      </w:r>
      <w:r w:rsidRPr="00F554F0">
        <w:rPr>
          <w:i/>
        </w:rPr>
        <w:t xml:space="preserve"> Require discretionary projects involving sensitive receptors such as children, the elderly, or people with respiratory diseases proposed within 500 feet of the Highway 101 corridor to include an analysis of mobile source toxic air contaminant health risks. The analysis, if necessary, shall identify feasible mitigation measures to reduce health risks to acceptable levels.</w:t>
      </w:r>
    </w:p>
    <w:p w:rsidR="005A21CA" w:rsidRPr="00F554F0" w:rsidRDefault="005A21CA" w:rsidP="005A21CA">
      <w:pPr>
        <w:pStyle w:val="Policy"/>
        <w:ind w:left="0"/>
        <w:rPr>
          <w:rFonts w:eastAsia="Calibri"/>
          <w:b/>
          <w:bCs w:val="0"/>
          <w:i/>
          <w:szCs w:val="22"/>
        </w:rPr>
      </w:pPr>
      <w:r w:rsidRPr="00F554F0">
        <w:rPr>
          <w:rFonts w:eastAsia="Calibri"/>
          <w:b/>
          <w:bCs w:val="0"/>
          <w:i/>
          <w:szCs w:val="22"/>
        </w:rPr>
        <w:t xml:space="preserve">Policy CON 2.4: </w:t>
      </w:r>
      <w:r w:rsidRPr="00F554F0">
        <w:rPr>
          <w:rFonts w:eastAsia="Calibri"/>
          <w:bCs w:val="0"/>
          <w:i/>
          <w:szCs w:val="22"/>
        </w:rPr>
        <w:t>Require new development or significant remodels to install fireplaces, stoves, and/or heaters which meet current BAAQMD standards.</w:t>
      </w:r>
    </w:p>
    <w:p w:rsidR="005A21CA" w:rsidRPr="00F554F0" w:rsidRDefault="005A21CA" w:rsidP="005A21CA">
      <w:pPr>
        <w:pStyle w:val="Policy"/>
        <w:ind w:left="0"/>
        <w:rPr>
          <w:i/>
        </w:rPr>
      </w:pPr>
      <w:r w:rsidRPr="00F554F0">
        <w:rPr>
          <w:rFonts w:eastAsia="Calibri"/>
          <w:b/>
          <w:bCs w:val="0"/>
          <w:i/>
          <w:szCs w:val="22"/>
        </w:rPr>
        <w:t xml:space="preserve">Policy CON 2.5: </w:t>
      </w:r>
      <w:r w:rsidRPr="00F554F0">
        <w:rPr>
          <w:rFonts w:eastAsia="Calibri"/>
          <w:bCs w:val="0"/>
          <w:i/>
          <w:szCs w:val="22"/>
        </w:rPr>
        <w:t xml:space="preserve">Continue to require all construction projects and ground disturbing activities to implement BAAQMD dust control and abatement measures. </w:t>
      </w:r>
    </w:p>
    <w:p w:rsidR="005A21CA" w:rsidRPr="00F554F0" w:rsidRDefault="005A21CA" w:rsidP="005A21CA">
      <w:pPr>
        <w:pStyle w:val="Policy"/>
        <w:tabs>
          <w:tab w:val="clear" w:pos="720"/>
        </w:tabs>
        <w:ind w:left="0"/>
        <w:rPr>
          <w:rFonts w:eastAsia="Calibri"/>
          <w:b/>
          <w:bCs w:val="0"/>
          <w:i/>
          <w:szCs w:val="22"/>
        </w:rPr>
      </w:pPr>
      <w:r w:rsidRPr="00F554F0">
        <w:rPr>
          <w:rFonts w:eastAsia="Calibri"/>
          <w:b/>
          <w:bCs w:val="0"/>
          <w:i/>
          <w:szCs w:val="22"/>
        </w:rPr>
        <w:t>Policy CON 2.6:</w:t>
      </w:r>
      <w:r w:rsidRPr="00F554F0">
        <w:rPr>
          <w:rFonts w:eastAsia="Calibri"/>
          <w:b/>
          <w:bCs w:val="0"/>
          <w:i/>
          <w:szCs w:val="22"/>
        </w:rPr>
        <w:tab/>
      </w:r>
      <w:r w:rsidRPr="00F554F0">
        <w:rPr>
          <w:rFonts w:eastAsia="Calibri"/>
          <w:bCs w:val="0"/>
          <w:i/>
          <w:szCs w:val="22"/>
        </w:rPr>
        <w:t>Reduce greenhouse gas (GHG) emissions from City facilities and operations to 30 percent below 1990 levels by 2015, consistent with the goals stated in the 2008 Cotati Greenhouse Gas Emissions Reduction Action Plan.</w:t>
      </w:r>
      <w:r w:rsidRPr="00F554F0">
        <w:rPr>
          <w:rFonts w:eastAsia="Calibri"/>
          <w:b/>
          <w:bCs w:val="0"/>
          <w:i/>
          <w:szCs w:val="22"/>
        </w:rPr>
        <w:t xml:space="preserve"> </w:t>
      </w:r>
    </w:p>
    <w:p w:rsidR="005A21CA" w:rsidRPr="00F554F0" w:rsidRDefault="005A21CA" w:rsidP="005A21CA">
      <w:pPr>
        <w:pStyle w:val="Policy"/>
        <w:tabs>
          <w:tab w:val="clear" w:pos="720"/>
        </w:tabs>
        <w:ind w:left="0"/>
        <w:rPr>
          <w:rFonts w:eastAsia="Calibri"/>
          <w:bCs w:val="0"/>
          <w:i/>
          <w:szCs w:val="22"/>
        </w:rPr>
      </w:pPr>
      <w:r w:rsidRPr="00F554F0">
        <w:rPr>
          <w:rFonts w:eastAsia="Calibri"/>
          <w:b/>
          <w:bCs w:val="0"/>
          <w:i/>
          <w:szCs w:val="22"/>
        </w:rPr>
        <w:t xml:space="preserve">Policy CON 2.7: </w:t>
      </w:r>
      <w:r w:rsidRPr="00F554F0">
        <w:rPr>
          <w:rFonts w:eastAsia="Calibri"/>
          <w:bCs w:val="0"/>
          <w:i/>
          <w:szCs w:val="22"/>
        </w:rPr>
        <w:t xml:space="preserve">Continue to aggressively implement the greenhouse gas (GHG) reduction measures contained in the 2008 Cotati Greenhouse Gas Emissions Reduction Action Plan. </w:t>
      </w:r>
    </w:p>
    <w:p w:rsidR="005A21CA" w:rsidRPr="00F554F0" w:rsidRDefault="005A21CA" w:rsidP="005A21CA">
      <w:pPr>
        <w:pStyle w:val="Policy"/>
        <w:tabs>
          <w:tab w:val="clear" w:pos="720"/>
        </w:tabs>
        <w:ind w:left="0"/>
        <w:rPr>
          <w:rFonts w:eastAsia="Calibri"/>
          <w:bCs w:val="0"/>
          <w:i/>
          <w:szCs w:val="22"/>
        </w:rPr>
      </w:pPr>
      <w:r w:rsidRPr="00F554F0">
        <w:rPr>
          <w:rFonts w:eastAsia="Calibri"/>
          <w:b/>
          <w:bCs w:val="0"/>
          <w:i/>
          <w:szCs w:val="22"/>
        </w:rPr>
        <w:lastRenderedPageBreak/>
        <w:t>Policy CON 2.8:</w:t>
      </w:r>
      <w:r w:rsidRPr="00F554F0">
        <w:rPr>
          <w:rFonts w:eastAsia="Calibri"/>
          <w:bCs w:val="0"/>
          <w:i/>
          <w:szCs w:val="22"/>
        </w:rPr>
        <w:t xml:space="preserve"> Support the development and implementation of a GHG reduction plan, or Climate Action Plan, that addresses and reduces GHG emissions associated with community operations, including but not limited to: mobile sources (vehicle traffic), energy consumption, and solid waste. </w:t>
      </w:r>
    </w:p>
    <w:p w:rsidR="005A21CA" w:rsidRPr="00F554F0" w:rsidRDefault="005A21CA" w:rsidP="005A21CA">
      <w:pPr>
        <w:pStyle w:val="Policy"/>
        <w:tabs>
          <w:tab w:val="clear" w:pos="720"/>
        </w:tabs>
        <w:ind w:left="0"/>
        <w:rPr>
          <w:rFonts w:eastAsia="Calibri"/>
          <w:bCs w:val="0"/>
          <w:i/>
          <w:szCs w:val="22"/>
        </w:rPr>
      </w:pPr>
      <w:r w:rsidRPr="00F554F0">
        <w:rPr>
          <w:rFonts w:eastAsia="Calibri"/>
          <w:b/>
          <w:bCs w:val="0"/>
          <w:i/>
          <w:szCs w:val="22"/>
        </w:rPr>
        <w:t>Policy CON 2.9:</w:t>
      </w:r>
      <w:r w:rsidRPr="00F554F0">
        <w:rPr>
          <w:rFonts w:eastAsia="Calibri"/>
          <w:bCs w:val="0"/>
          <w:i/>
          <w:szCs w:val="22"/>
        </w:rPr>
        <w:t xml:space="preserve"> Coordinate with Sonoma County and nearby cities to implement regional GHG reduction plans and consolidate efforts to reduce GHGs throughout the County. </w:t>
      </w:r>
    </w:p>
    <w:p w:rsidR="005A21CA" w:rsidRPr="00F554F0" w:rsidRDefault="005A21CA" w:rsidP="005A21CA">
      <w:pPr>
        <w:pStyle w:val="Policy"/>
        <w:tabs>
          <w:tab w:val="clear" w:pos="720"/>
        </w:tabs>
        <w:ind w:left="0"/>
        <w:rPr>
          <w:rFonts w:eastAsia="Calibri"/>
          <w:bCs w:val="0"/>
          <w:i/>
          <w:szCs w:val="22"/>
        </w:rPr>
      </w:pPr>
      <w:r w:rsidRPr="00F554F0">
        <w:rPr>
          <w:rFonts w:eastAsia="Calibri"/>
          <w:b/>
          <w:bCs w:val="0"/>
          <w:i/>
          <w:szCs w:val="22"/>
        </w:rPr>
        <w:t>Policy CON 2.10:</w:t>
      </w:r>
      <w:r w:rsidRPr="00F554F0">
        <w:rPr>
          <w:rFonts w:eastAsia="Calibri"/>
          <w:bCs w:val="0"/>
          <w:i/>
          <w:szCs w:val="22"/>
        </w:rPr>
        <w:t xml:space="preserve"> Encourage local businesses and industries to engage in voluntary efforts to reduce GHG emissions and energy consumption. </w:t>
      </w:r>
    </w:p>
    <w:p w:rsidR="005A21CA" w:rsidRPr="00F554F0" w:rsidRDefault="005A21CA" w:rsidP="005A21CA">
      <w:pPr>
        <w:pStyle w:val="Policy"/>
        <w:tabs>
          <w:tab w:val="clear" w:pos="720"/>
        </w:tabs>
        <w:ind w:left="0"/>
        <w:rPr>
          <w:rFonts w:eastAsia="Calibri"/>
          <w:bCs w:val="0"/>
          <w:i/>
          <w:szCs w:val="22"/>
        </w:rPr>
      </w:pPr>
      <w:r w:rsidRPr="00F554F0">
        <w:rPr>
          <w:rFonts w:eastAsia="Calibri"/>
          <w:b/>
          <w:bCs w:val="0"/>
          <w:i/>
          <w:szCs w:val="22"/>
        </w:rPr>
        <w:t>Policy CON 2.11:</w:t>
      </w:r>
      <w:r w:rsidRPr="00F554F0">
        <w:rPr>
          <w:rFonts w:eastAsia="Calibri"/>
          <w:bCs w:val="0"/>
          <w:i/>
          <w:szCs w:val="22"/>
        </w:rPr>
        <w:t xml:space="preserve"> Preserve, protect and enhance, as appropriate, the City’s carbon sequestration resources, also referred to as “carbon sinks,” to improve air quality and reduce net carbon emissions. </w:t>
      </w:r>
    </w:p>
    <w:p w:rsidR="005A21CA" w:rsidRPr="00F554F0" w:rsidRDefault="005A21CA" w:rsidP="005A21CA">
      <w:pPr>
        <w:pStyle w:val="Policy"/>
        <w:tabs>
          <w:tab w:val="clear" w:pos="720"/>
        </w:tabs>
        <w:ind w:left="0"/>
        <w:rPr>
          <w:i/>
        </w:rPr>
      </w:pPr>
      <w:r w:rsidRPr="00F554F0">
        <w:rPr>
          <w:rFonts w:eastAsia="Calibri"/>
          <w:b/>
          <w:bCs w:val="0"/>
          <w:i/>
          <w:szCs w:val="22"/>
        </w:rPr>
        <w:t>Policy CON 2.12:</w:t>
      </w:r>
      <w:r w:rsidRPr="00F554F0">
        <w:rPr>
          <w:i/>
        </w:rPr>
        <w:t xml:space="preserve"> Encourage public transit, ridesharing and van pooling, shortened and combined motor vehicle trips to work and services, use of bicycles, and walking. Minimize single passenger motor vehicle use.</w:t>
      </w:r>
    </w:p>
    <w:p w:rsidR="005A21CA" w:rsidRPr="00F554F0" w:rsidRDefault="005A21CA" w:rsidP="005A21CA">
      <w:pPr>
        <w:pStyle w:val="Policy"/>
        <w:tabs>
          <w:tab w:val="clear" w:pos="720"/>
        </w:tabs>
        <w:ind w:left="0"/>
        <w:rPr>
          <w:i/>
        </w:rPr>
      </w:pPr>
      <w:r w:rsidRPr="00F554F0">
        <w:rPr>
          <w:b/>
          <w:i/>
        </w:rPr>
        <w:t>Policy CON 3.1:</w:t>
      </w:r>
      <w:r w:rsidRPr="00F554F0">
        <w:rPr>
          <w:i/>
        </w:rPr>
        <w:t xml:space="preserve"> Continue to require all new public and privately constructed buildings to meet and comply with CALGreen Tier 1 standards. </w:t>
      </w:r>
    </w:p>
    <w:p w:rsidR="005A21CA" w:rsidRPr="00F554F0" w:rsidRDefault="005A21CA" w:rsidP="005A21CA">
      <w:pPr>
        <w:pStyle w:val="Policy"/>
        <w:ind w:left="0"/>
        <w:rPr>
          <w:i/>
        </w:rPr>
      </w:pPr>
      <w:r w:rsidRPr="00F554F0">
        <w:rPr>
          <w:b/>
          <w:i/>
        </w:rPr>
        <w:t>Policy CON 3.2:</w:t>
      </w:r>
      <w:r w:rsidRPr="00F554F0">
        <w:rPr>
          <w:i/>
        </w:rPr>
        <w:t xml:space="preserve"> Support innovative and green building best management practices, including LEED certification, for all new development, and encourage project applicants to exceed CALGreen Tier 1 standards, if feasible. </w:t>
      </w:r>
    </w:p>
    <w:p w:rsidR="005A21CA" w:rsidRPr="00F554F0" w:rsidRDefault="005A21CA" w:rsidP="005A21CA">
      <w:pPr>
        <w:pStyle w:val="Policy"/>
        <w:ind w:left="0"/>
        <w:rPr>
          <w:i/>
        </w:rPr>
      </w:pPr>
      <w:r w:rsidRPr="00F554F0">
        <w:rPr>
          <w:rFonts w:eastAsia="Calibri"/>
          <w:b/>
          <w:bCs w:val="0"/>
          <w:i/>
          <w:szCs w:val="22"/>
        </w:rPr>
        <w:t>Policy CON 3.3:</w:t>
      </w:r>
      <w:r w:rsidRPr="00F554F0">
        <w:rPr>
          <w:i/>
        </w:rPr>
        <w:t xml:space="preserve"> Promote the use of alternative energy sources in new development.</w:t>
      </w:r>
    </w:p>
    <w:p w:rsidR="005A21CA" w:rsidRPr="00F554F0" w:rsidRDefault="005A21CA" w:rsidP="005A21CA">
      <w:pPr>
        <w:pStyle w:val="Policy"/>
        <w:ind w:left="0"/>
        <w:rPr>
          <w:i/>
        </w:rPr>
      </w:pPr>
      <w:r w:rsidRPr="00F554F0">
        <w:rPr>
          <w:rFonts w:eastAsia="Calibri"/>
          <w:b/>
          <w:bCs w:val="0"/>
          <w:i/>
          <w:szCs w:val="22"/>
        </w:rPr>
        <w:t>Policy CON 3.4:</w:t>
      </w:r>
      <w:r w:rsidRPr="00F554F0">
        <w:rPr>
          <w:i/>
        </w:rPr>
        <w:t xml:space="preserve"> Incorporate innovative green building techniques and best management practices in the site design, construction, and renovation of all public projects. </w:t>
      </w:r>
    </w:p>
    <w:p w:rsidR="005A21CA" w:rsidRPr="00F554F0" w:rsidRDefault="005A21CA" w:rsidP="005A21CA">
      <w:pPr>
        <w:pStyle w:val="Policy"/>
        <w:tabs>
          <w:tab w:val="clear" w:pos="720"/>
        </w:tabs>
        <w:ind w:left="0"/>
        <w:rPr>
          <w:i/>
        </w:rPr>
      </w:pPr>
      <w:r w:rsidRPr="00F554F0">
        <w:rPr>
          <w:rFonts w:eastAsia="Calibri"/>
          <w:b/>
          <w:bCs w:val="0"/>
          <w:i/>
          <w:szCs w:val="22"/>
        </w:rPr>
        <w:t>Policy CON 3.5:</w:t>
      </w:r>
      <w:r w:rsidRPr="00F554F0">
        <w:rPr>
          <w:i/>
        </w:rPr>
        <w:t xml:space="preserve"> </w:t>
      </w:r>
      <w:r w:rsidRPr="00F554F0">
        <w:rPr>
          <w:b/>
          <w:i/>
        </w:rPr>
        <w:t>Ensure</w:t>
      </w:r>
      <w:r w:rsidRPr="00F554F0">
        <w:rPr>
          <w:i/>
        </w:rPr>
        <w:t xml:space="preserve"> protection of solar access.</w:t>
      </w:r>
    </w:p>
    <w:p w:rsidR="005A21CA" w:rsidRPr="00F554F0" w:rsidRDefault="005A21CA" w:rsidP="005A21CA">
      <w:pPr>
        <w:pStyle w:val="Policy"/>
        <w:ind w:left="0"/>
        <w:rPr>
          <w:i/>
        </w:rPr>
      </w:pPr>
      <w:r w:rsidRPr="00F554F0">
        <w:rPr>
          <w:b/>
          <w:i/>
        </w:rPr>
        <w:t>Policy CON 3.6:</w:t>
      </w:r>
      <w:r w:rsidRPr="00F554F0">
        <w:rPr>
          <w:i/>
        </w:rPr>
        <w:t xml:space="preserve"> Ensure that street layout and design minimizes the use of pavement to the greatest extent feasible in order to reduce cooling energy needs.</w:t>
      </w:r>
    </w:p>
    <w:p w:rsidR="005A21CA" w:rsidRPr="00F554F0" w:rsidRDefault="005A21CA" w:rsidP="005A21CA">
      <w:pPr>
        <w:pStyle w:val="Policy"/>
        <w:ind w:left="0"/>
        <w:rPr>
          <w:i/>
        </w:rPr>
      </w:pPr>
      <w:r w:rsidRPr="00F554F0">
        <w:rPr>
          <w:b/>
          <w:i/>
        </w:rPr>
        <w:t>Policy CON 3.7:</w:t>
      </w:r>
      <w:r w:rsidRPr="00F554F0">
        <w:rPr>
          <w:i/>
        </w:rPr>
        <w:t xml:space="preserve"> Encourage tree planting, including widespread use of trees as windbreaks to maximize the effects of cooling westerly winds and planting of deciduous trees to help reduce summer temperatures, either in conjunction with new development or through private sector participation.</w:t>
      </w:r>
    </w:p>
    <w:p w:rsidR="005A21CA" w:rsidRPr="00F554F0" w:rsidRDefault="005A21CA" w:rsidP="005A21CA">
      <w:pPr>
        <w:pStyle w:val="Policy"/>
        <w:tabs>
          <w:tab w:val="clear" w:pos="720"/>
        </w:tabs>
        <w:ind w:left="0"/>
        <w:rPr>
          <w:i/>
        </w:rPr>
      </w:pPr>
      <w:r w:rsidRPr="00F554F0">
        <w:rPr>
          <w:b/>
          <w:i/>
        </w:rPr>
        <w:t>Policy CON 3.8:</w:t>
      </w:r>
      <w:r w:rsidRPr="00F554F0">
        <w:rPr>
          <w:i/>
        </w:rPr>
        <w:t xml:space="preserve"> Promote water conservation among water users.</w:t>
      </w:r>
    </w:p>
    <w:p w:rsidR="005A21CA" w:rsidRPr="00F554F0" w:rsidRDefault="005A21CA" w:rsidP="005A21CA">
      <w:pPr>
        <w:pStyle w:val="Policy"/>
        <w:tabs>
          <w:tab w:val="clear" w:pos="720"/>
        </w:tabs>
        <w:ind w:left="0"/>
        <w:rPr>
          <w:i/>
        </w:rPr>
      </w:pPr>
      <w:r w:rsidRPr="00F554F0">
        <w:rPr>
          <w:b/>
          <w:i/>
        </w:rPr>
        <w:t>Policy CON 3.9:</w:t>
      </w:r>
      <w:r w:rsidRPr="00F554F0">
        <w:rPr>
          <w:i/>
        </w:rPr>
        <w:t xml:space="preserve"> Require the use of drought</w:t>
      </w:r>
      <w:r w:rsidRPr="00F554F0">
        <w:rPr>
          <w:i/>
        </w:rPr>
        <w:noBreakHyphen/>
        <w:t>tolerant and regionally native plants in landscaping.</w:t>
      </w:r>
    </w:p>
    <w:p w:rsidR="005A21CA" w:rsidRPr="00F554F0" w:rsidRDefault="005A21CA" w:rsidP="005A21CA">
      <w:pPr>
        <w:pStyle w:val="Policy"/>
        <w:tabs>
          <w:tab w:val="clear" w:pos="720"/>
        </w:tabs>
        <w:ind w:left="0"/>
        <w:rPr>
          <w:i/>
        </w:rPr>
      </w:pPr>
      <w:r w:rsidRPr="00F554F0">
        <w:rPr>
          <w:b/>
          <w:i/>
        </w:rPr>
        <w:t>Policy CON 3.10:</w:t>
      </w:r>
      <w:r w:rsidRPr="00F554F0">
        <w:rPr>
          <w:i/>
        </w:rPr>
        <w:t xml:space="preserve"> Ensure that the layout and design of new development and significant remodels encourages the use of transportation modes other than automobiles and trucks.</w:t>
      </w:r>
    </w:p>
    <w:p w:rsidR="005A21CA" w:rsidRPr="00F554F0" w:rsidRDefault="005A21CA" w:rsidP="005A21CA">
      <w:pPr>
        <w:pStyle w:val="Policy"/>
        <w:tabs>
          <w:tab w:val="clear" w:pos="720"/>
        </w:tabs>
        <w:ind w:left="0"/>
        <w:rPr>
          <w:i/>
        </w:rPr>
      </w:pPr>
      <w:r w:rsidRPr="00F554F0">
        <w:rPr>
          <w:b/>
          <w:i/>
        </w:rPr>
        <w:t>Policy CON 3.11:</w:t>
      </w:r>
      <w:r w:rsidRPr="00F554F0">
        <w:rPr>
          <w:i/>
        </w:rPr>
        <w:t xml:space="preserve"> Continue the City</w:t>
      </w:r>
      <w:r w:rsidRPr="00F554F0">
        <w:rPr>
          <w:i/>
        </w:rPr>
        <w:noBreakHyphen/>
        <w:t>wide recycling program and actively encourage recycling.</w:t>
      </w:r>
    </w:p>
    <w:p w:rsidR="005A21CA" w:rsidRPr="00F554F0" w:rsidRDefault="005A21CA" w:rsidP="005A21CA">
      <w:pPr>
        <w:pStyle w:val="Policy"/>
        <w:tabs>
          <w:tab w:val="clear" w:pos="720"/>
        </w:tabs>
        <w:ind w:left="0"/>
        <w:rPr>
          <w:i/>
        </w:rPr>
      </w:pPr>
      <w:r w:rsidRPr="00F554F0">
        <w:rPr>
          <w:b/>
          <w:i/>
        </w:rPr>
        <w:lastRenderedPageBreak/>
        <w:t>Policy CON 3.12:</w:t>
      </w:r>
      <w:r w:rsidRPr="00F554F0">
        <w:rPr>
          <w:i/>
        </w:rPr>
        <w:t xml:space="preserve"> Continue efforts to reduce solid waste generation throughout the life of the General Plan. </w:t>
      </w:r>
    </w:p>
    <w:p w:rsidR="005A21CA" w:rsidRPr="00F554F0" w:rsidRDefault="005A21CA" w:rsidP="005A21CA">
      <w:pPr>
        <w:pStyle w:val="Policy"/>
        <w:tabs>
          <w:tab w:val="clear" w:pos="720"/>
        </w:tabs>
        <w:ind w:left="0"/>
        <w:rPr>
          <w:i/>
        </w:rPr>
      </w:pPr>
      <w:r w:rsidRPr="00F554F0">
        <w:rPr>
          <w:b/>
          <w:i/>
        </w:rPr>
        <w:t>Policy CON 3.13:</w:t>
      </w:r>
      <w:r w:rsidRPr="00F554F0">
        <w:rPr>
          <w:i/>
        </w:rPr>
        <w:t xml:space="preserve"> Continue to implement the City’s Tree Preservation and Protection Ordinance (Chapter 17.</w:t>
      </w:r>
      <w:r w:rsidRPr="00F554F0">
        <w:rPr>
          <w:b/>
          <w:i/>
        </w:rPr>
        <w:t>54</w:t>
      </w:r>
      <w:r w:rsidRPr="00F554F0">
        <w:rPr>
          <w:i/>
        </w:rPr>
        <w:t xml:space="preserve"> of the Municipal Code).</w:t>
      </w:r>
    </w:p>
    <w:p w:rsidR="005A21CA" w:rsidRPr="00F554F0" w:rsidRDefault="005A21CA" w:rsidP="005A21CA">
      <w:pPr>
        <w:pStyle w:val="Policy"/>
        <w:ind w:left="0"/>
        <w:rPr>
          <w:i/>
        </w:rPr>
      </w:pPr>
      <w:r w:rsidRPr="00F554F0">
        <w:rPr>
          <w:b/>
          <w:i/>
        </w:rPr>
        <w:t>Policy CON 3.14:</w:t>
      </w:r>
      <w:r w:rsidRPr="00F554F0">
        <w:rPr>
          <w:i/>
        </w:rPr>
        <w:t xml:space="preserve"> Continue to require landscaping to provide visual screening of parking areas, outdoor storage, loading docks, equipment, and similar uses. </w:t>
      </w:r>
    </w:p>
    <w:p w:rsidR="005A21CA" w:rsidRPr="00F554F0" w:rsidRDefault="005A21CA" w:rsidP="005A21CA">
      <w:pPr>
        <w:pStyle w:val="Policy"/>
        <w:ind w:left="0"/>
        <w:rPr>
          <w:i/>
        </w:rPr>
      </w:pPr>
      <w:r w:rsidRPr="00F554F0">
        <w:rPr>
          <w:b/>
          <w:i/>
        </w:rPr>
        <w:t>Policy CON 3.15:</w:t>
      </w:r>
      <w:r w:rsidRPr="00F554F0">
        <w:rPr>
          <w:i/>
        </w:rPr>
        <w:t xml:space="preserve"> Plant and maintain deciduous native trees along Old Redwood Highway in such a way that the deciduous trees will eventually provide a canopy for the street.</w:t>
      </w:r>
    </w:p>
    <w:p w:rsidR="005A21CA" w:rsidRPr="00F554F0" w:rsidRDefault="005A21CA" w:rsidP="005A21CA">
      <w:pPr>
        <w:pStyle w:val="Policy"/>
        <w:ind w:left="0"/>
        <w:rPr>
          <w:i/>
        </w:rPr>
      </w:pPr>
      <w:r w:rsidRPr="00F554F0">
        <w:rPr>
          <w:b/>
          <w:i/>
        </w:rPr>
        <w:t>Policy CON 3.16:</w:t>
      </w:r>
      <w:r w:rsidRPr="00F554F0">
        <w:rPr>
          <w:i/>
        </w:rPr>
        <w:t xml:space="preserve"> Improve and maintain landscaping around commercial areas in order to minimize the "heat island" effect, provide shade, soften the harshness of such commercial areas, and create a more leisurely ambience.</w:t>
      </w:r>
    </w:p>
    <w:p w:rsidR="005A21CA" w:rsidRPr="00F554F0" w:rsidRDefault="005A21CA" w:rsidP="005A21CA">
      <w:pPr>
        <w:pStyle w:val="Policy"/>
        <w:ind w:left="0"/>
        <w:rPr>
          <w:i/>
        </w:rPr>
      </w:pPr>
      <w:r w:rsidRPr="00F554F0">
        <w:rPr>
          <w:b/>
          <w:i/>
        </w:rPr>
        <w:t>Policy CON 3.17:</w:t>
      </w:r>
      <w:r w:rsidRPr="00F554F0">
        <w:rPr>
          <w:i/>
        </w:rPr>
        <w:t xml:space="preserve"> Plant a combination of deciduous native trees and more flower beds consisting of native flowers, if possible, so that there is a continuous show of flowers throughout the year in La Plaza Park.</w:t>
      </w:r>
    </w:p>
    <w:p w:rsidR="005A21CA" w:rsidRPr="00F554F0" w:rsidRDefault="005A21CA" w:rsidP="005A21CA">
      <w:pPr>
        <w:pStyle w:val="Policy"/>
        <w:ind w:left="0"/>
        <w:rPr>
          <w:i/>
        </w:rPr>
      </w:pPr>
      <w:r w:rsidRPr="00F554F0">
        <w:rPr>
          <w:b/>
          <w:i/>
        </w:rPr>
        <w:t>Policy CON 3.18:</w:t>
      </w:r>
      <w:r w:rsidRPr="00F554F0">
        <w:rPr>
          <w:i/>
        </w:rPr>
        <w:t xml:space="preserve"> The natural paths of creeks should not be disrupted as a consequence of development.</w:t>
      </w:r>
    </w:p>
    <w:p w:rsidR="005A21CA" w:rsidRPr="00F554F0" w:rsidRDefault="005A21CA" w:rsidP="005A21CA">
      <w:pPr>
        <w:pStyle w:val="Policy"/>
        <w:ind w:left="0"/>
        <w:rPr>
          <w:i/>
        </w:rPr>
      </w:pPr>
      <w:r w:rsidRPr="00F554F0">
        <w:rPr>
          <w:b/>
          <w:i/>
        </w:rPr>
        <w:t>Policy CON 3.19:</w:t>
      </w:r>
      <w:r w:rsidRPr="00F554F0">
        <w:rPr>
          <w:i/>
        </w:rPr>
        <w:t xml:space="preserve"> Utilize trees, both new and existing, to provide visual screening of power lines and other infrastructure within public right-of-ways, without compromising the safety and function of above-ground utility lines. </w:t>
      </w:r>
    </w:p>
    <w:p w:rsidR="005A21CA" w:rsidRDefault="005A21CA" w:rsidP="005A21CA">
      <w:pPr>
        <w:pStyle w:val="Policy"/>
        <w:ind w:left="0"/>
        <w:rPr>
          <w:i/>
        </w:rPr>
      </w:pPr>
      <w:r w:rsidRPr="00F554F0">
        <w:rPr>
          <w:b/>
          <w:i/>
        </w:rPr>
        <w:t>Policy CON 3.20:</w:t>
      </w:r>
      <w:r w:rsidRPr="00F554F0">
        <w:rPr>
          <w:i/>
        </w:rPr>
        <w:t xml:space="preserve"> Encourage and promote programs that teach Cotati residents about native and low-water use plants and landscaping materials, and encourage the use of such plants and materials throughout the City. </w:t>
      </w:r>
    </w:p>
    <w:p w:rsidR="005A21CA" w:rsidRPr="000F64C7" w:rsidRDefault="005A21CA" w:rsidP="000F64C7">
      <w:pPr>
        <w:rPr>
          <w:rFonts w:eastAsia="Calibri"/>
          <w:i/>
          <w:color w:val="1D1B11"/>
        </w:rPr>
      </w:pPr>
      <w:r w:rsidRPr="000F64C7">
        <w:rPr>
          <w:rFonts w:eastAsia="Calibri"/>
          <w:b/>
          <w:i/>
          <w:color w:val="1D1B11"/>
        </w:rPr>
        <w:t>Policy LU 1.4:</w:t>
      </w:r>
      <w:r w:rsidRPr="000F64C7">
        <w:rPr>
          <w:rFonts w:eastAsia="Calibri"/>
          <w:i/>
          <w:color w:val="1D1B11"/>
        </w:rPr>
        <w:t xml:space="preserve"> Require new development to occur in a logical and orderly manner, focusing growth on infill locations and areas designated for urbanization on the Land Use Map (see Figure 7-1), and be subject to the ability to provide urban services, including paying for any needed extension of services.  </w:t>
      </w:r>
    </w:p>
    <w:p w:rsidR="005A21CA" w:rsidRPr="000F64C7" w:rsidRDefault="005A21CA" w:rsidP="000F64C7">
      <w:pPr>
        <w:rPr>
          <w:rFonts w:eastAsia="Calibri"/>
          <w:i/>
          <w:color w:val="1D1B11"/>
        </w:rPr>
      </w:pPr>
      <w:r w:rsidRPr="000F64C7">
        <w:rPr>
          <w:rFonts w:eastAsia="Calibri"/>
          <w:b/>
          <w:i/>
          <w:color w:val="1D1B11"/>
        </w:rPr>
        <w:t xml:space="preserve">Policy LU 1.5:  </w:t>
      </w:r>
      <w:r w:rsidRPr="000F64C7">
        <w:rPr>
          <w:rFonts w:eastAsia="Calibri"/>
          <w:i/>
          <w:color w:val="1D1B11"/>
        </w:rPr>
        <w:t xml:space="preserve">Use sustainable, best management practices in green building, stormwater management, and conservation to mitigate infrastructure impacts, while minimizing effects on water, sewer, and energy resources. </w:t>
      </w:r>
    </w:p>
    <w:p w:rsidR="005A21CA" w:rsidRPr="000F64C7" w:rsidRDefault="005A21CA" w:rsidP="000F64C7">
      <w:pPr>
        <w:rPr>
          <w:rFonts w:eastAsia="Calibri"/>
          <w:i/>
          <w:color w:val="1D1B11"/>
        </w:rPr>
      </w:pPr>
      <w:r w:rsidRPr="000F64C7">
        <w:rPr>
          <w:rFonts w:eastAsia="Calibri"/>
          <w:b/>
          <w:i/>
          <w:color w:val="1D1B11"/>
        </w:rPr>
        <w:t>Policy LU 2.3:</w:t>
      </w:r>
      <w:r w:rsidRPr="000F64C7">
        <w:rPr>
          <w:rFonts w:eastAsia="Calibri"/>
          <w:i/>
          <w:color w:val="1D1B11"/>
        </w:rPr>
        <w:t xml:space="preserve">  Locate residences away from areas of excessive noise, smoke, or dust, and ensure that adequate provisions, including a buffer or transitional uses, are made to ensure the health and well-being of existing and future residents.  </w:t>
      </w:r>
    </w:p>
    <w:p w:rsidR="005A21CA" w:rsidRPr="000F64C7" w:rsidRDefault="005A21CA" w:rsidP="000F64C7">
      <w:pPr>
        <w:pStyle w:val="Policy"/>
        <w:ind w:left="0"/>
        <w:rPr>
          <w:i/>
        </w:rPr>
      </w:pPr>
      <w:r w:rsidRPr="000F64C7">
        <w:rPr>
          <w:b/>
          <w:i/>
        </w:rPr>
        <w:t xml:space="preserve">Policy LU 2.5:  </w:t>
      </w:r>
      <w:r w:rsidRPr="000F64C7">
        <w:rPr>
          <w:i/>
        </w:rPr>
        <w:t>Locate medium and higher density housing within easy walking or bicycling distance of public facilities, services, transit, and major employers.</w:t>
      </w:r>
    </w:p>
    <w:p w:rsidR="005A21CA" w:rsidRPr="000F64C7" w:rsidRDefault="005A21CA" w:rsidP="000F64C7">
      <w:pPr>
        <w:pStyle w:val="Policy"/>
        <w:ind w:left="0"/>
        <w:rPr>
          <w:i/>
        </w:rPr>
      </w:pPr>
      <w:r w:rsidRPr="000F64C7">
        <w:rPr>
          <w:b/>
          <w:i/>
        </w:rPr>
        <w:lastRenderedPageBreak/>
        <w:t>Policy LU 2.9:</w:t>
      </w:r>
      <w:r w:rsidRPr="000F64C7">
        <w:rPr>
          <w:i/>
        </w:rPr>
        <w:t xml:space="preserve"> </w:t>
      </w:r>
      <w:r w:rsidRPr="000F64C7">
        <w:rPr>
          <w:rFonts w:eastAsia="Calibri"/>
          <w:i/>
          <w:szCs w:val="22"/>
        </w:rPr>
        <w:t>Encourage a concentration of neighborhood, community, and retail amenities and services within walking distance of residential areas.</w:t>
      </w:r>
    </w:p>
    <w:p w:rsidR="005A21CA" w:rsidRPr="000F64C7" w:rsidRDefault="005A21CA" w:rsidP="000F64C7">
      <w:pPr>
        <w:pStyle w:val="Policy"/>
        <w:ind w:left="0"/>
        <w:rPr>
          <w:rFonts w:eastAsia="Calibri"/>
          <w:i/>
          <w:szCs w:val="22"/>
        </w:rPr>
      </w:pPr>
      <w:r w:rsidRPr="000F64C7">
        <w:rPr>
          <w:b/>
          <w:i/>
        </w:rPr>
        <w:t>Policy LU 2.10:</w:t>
      </w:r>
      <w:r w:rsidRPr="000F64C7">
        <w:rPr>
          <w:i/>
        </w:rPr>
        <w:t xml:space="preserve"> </w:t>
      </w:r>
      <w:r w:rsidRPr="000F64C7">
        <w:rPr>
          <w:rFonts w:eastAsia="Calibri"/>
          <w:i/>
          <w:szCs w:val="22"/>
        </w:rPr>
        <w:t xml:space="preserve">Encourage mixed-use, pedestrian-, and transit-oriented development, with a focus on the Hub and major corridors. </w:t>
      </w:r>
    </w:p>
    <w:p w:rsidR="005A21CA" w:rsidRPr="000F64C7" w:rsidRDefault="005A21CA" w:rsidP="000F64C7">
      <w:pPr>
        <w:pStyle w:val="Policy"/>
        <w:ind w:left="0"/>
        <w:rPr>
          <w:i/>
        </w:rPr>
      </w:pPr>
      <w:r w:rsidRPr="000F64C7">
        <w:rPr>
          <w:b/>
          <w:i/>
        </w:rPr>
        <w:t xml:space="preserve">Policy LU 3.2:  </w:t>
      </w:r>
      <w:r w:rsidRPr="000F64C7">
        <w:rPr>
          <w:i/>
        </w:rPr>
        <w:t>Encourage infill development of vacant lots within existing commercial districts and the core downtown/business areas and prioritize such development.</w:t>
      </w:r>
    </w:p>
    <w:p w:rsidR="005A21CA" w:rsidRPr="000F64C7" w:rsidRDefault="005A21CA" w:rsidP="000F64C7">
      <w:pPr>
        <w:pStyle w:val="Policy"/>
        <w:ind w:left="0"/>
        <w:rPr>
          <w:i/>
        </w:rPr>
      </w:pPr>
      <w:r w:rsidRPr="000F64C7">
        <w:rPr>
          <w:b/>
          <w:i/>
        </w:rPr>
        <w:t>Policy LU 3.8:</w:t>
      </w:r>
      <w:r w:rsidRPr="000F64C7">
        <w:rPr>
          <w:i/>
        </w:rPr>
        <w:t xml:space="preserve">  Design future commercial retail with a pedestrian and bicyclist orientation.</w:t>
      </w:r>
    </w:p>
    <w:p w:rsidR="005A21CA" w:rsidRPr="000F64C7" w:rsidRDefault="005A21CA" w:rsidP="000F64C7">
      <w:pPr>
        <w:pStyle w:val="Policy"/>
        <w:ind w:left="0"/>
        <w:rPr>
          <w:i/>
        </w:rPr>
      </w:pPr>
      <w:r w:rsidRPr="000F64C7">
        <w:rPr>
          <w:b/>
          <w:i/>
        </w:rPr>
        <w:t>Policy CI 1.2</w:t>
      </w:r>
      <w:r w:rsidRPr="000F64C7">
        <w:rPr>
          <w:i/>
        </w:rPr>
        <w:tab/>
        <w:t>Ensure that the City’s circulation network is a well-connected system of streets, roads, highways, sidewalks, and bicycle/pedestrian paths that effectively accommodates vehicular and non-vehicular traffic in a manner that considers the context of surrounding land uses and the needs of all roadway users.</w:t>
      </w:r>
    </w:p>
    <w:p w:rsidR="005A21CA" w:rsidRPr="000F64C7" w:rsidRDefault="005A21CA" w:rsidP="000F64C7">
      <w:pPr>
        <w:pStyle w:val="Policy"/>
        <w:ind w:left="0"/>
        <w:rPr>
          <w:i/>
        </w:rPr>
      </w:pPr>
      <w:r w:rsidRPr="000F64C7">
        <w:rPr>
          <w:b/>
          <w:i/>
        </w:rPr>
        <w:t>Policy CI 1.6</w:t>
      </w:r>
      <w:r w:rsidRPr="000F64C7">
        <w:rPr>
          <w:i/>
        </w:rPr>
        <w:tab/>
        <w:t>When analyzing impacts to the circulation network created by new development or roadway improvements, consider the needs of all users including those with disabilities, ensuring that pedestrians, bicyclists, and transit riders are considered at an equal level to the needs of automobile drivers.</w:t>
      </w:r>
    </w:p>
    <w:p w:rsidR="005A21CA" w:rsidRPr="000F64C7" w:rsidRDefault="005A21CA" w:rsidP="000F64C7">
      <w:pPr>
        <w:pStyle w:val="Policy"/>
        <w:ind w:left="0"/>
        <w:rPr>
          <w:i/>
        </w:rPr>
      </w:pPr>
      <w:r w:rsidRPr="000F64C7">
        <w:rPr>
          <w:b/>
          <w:i/>
        </w:rPr>
        <w:t>Policy CI 1.9</w:t>
      </w:r>
      <w:r w:rsidRPr="000F64C7">
        <w:rPr>
          <w:i/>
        </w:rPr>
        <w:tab/>
        <w:t>Consider all transportation improvements as opportunities to improve safety, access, and mobility for all roadway users.</w:t>
      </w:r>
    </w:p>
    <w:p w:rsidR="005A21CA" w:rsidRPr="000F64C7" w:rsidRDefault="005A21CA" w:rsidP="000F64C7">
      <w:pPr>
        <w:pStyle w:val="Policy"/>
        <w:ind w:left="0"/>
        <w:rPr>
          <w:i/>
        </w:rPr>
      </w:pPr>
      <w:r w:rsidRPr="000F64C7">
        <w:rPr>
          <w:b/>
          <w:i/>
        </w:rPr>
        <w:t>Policy CI 1.17</w:t>
      </w:r>
      <w:r w:rsidRPr="000F64C7">
        <w:rPr>
          <w:i/>
        </w:rPr>
        <w:tab/>
        <w:t>Consider alternatives to traffic signals where appropriate conditions exist to maximize intersection efficiency, maintain traffic flow, reduce accident severity, and enhance pedestrian and bicyclist circulation.</w:t>
      </w:r>
    </w:p>
    <w:p w:rsidR="005A21CA" w:rsidRPr="000F64C7" w:rsidRDefault="005A21CA" w:rsidP="000F64C7">
      <w:pPr>
        <w:pStyle w:val="Policy"/>
        <w:ind w:left="0"/>
        <w:rPr>
          <w:i/>
        </w:rPr>
      </w:pPr>
      <w:r w:rsidRPr="000F64C7">
        <w:rPr>
          <w:b/>
          <w:i/>
        </w:rPr>
        <w:t>Policy CI 1.18</w:t>
      </w:r>
      <w:r w:rsidRPr="000F64C7">
        <w:rPr>
          <w:i/>
        </w:rPr>
        <w:tab/>
        <w:t>Intersections shall be designed to provide adequate and safe access for all users including pedestrians, bicyclists, and motorists of all ages and abilities.</w:t>
      </w:r>
    </w:p>
    <w:p w:rsidR="005A21CA" w:rsidRPr="000F64C7" w:rsidRDefault="005A21CA" w:rsidP="000F64C7">
      <w:pPr>
        <w:pStyle w:val="Policy"/>
        <w:ind w:left="0"/>
        <w:rPr>
          <w:i/>
        </w:rPr>
      </w:pPr>
      <w:r w:rsidRPr="000F64C7">
        <w:rPr>
          <w:b/>
          <w:i/>
        </w:rPr>
        <w:t>Policy CI 1.19</w:t>
      </w:r>
      <w:r w:rsidRPr="000F64C7">
        <w:rPr>
          <w:i/>
        </w:rPr>
        <w:tab/>
        <w:t>Require new development to include effective linkages to the surrounding circulation system for all modes of travel, to the extent feasible.</w:t>
      </w:r>
    </w:p>
    <w:p w:rsidR="005A21CA" w:rsidRPr="000F64C7" w:rsidRDefault="005A21CA" w:rsidP="000F64C7">
      <w:pPr>
        <w:pStyle w:val="Policy"/>
        <w:ind w:left="0"/>
        <w:rPr>
          <w:i/>
        </w:rPr>
      </w:pPr>
      <w:r w:rsidRPr="000F64C7">
        <w:rPr>
          <w:b/>
          <w:i/>
        </w:rPr>
        <w:t>Policy CI 1.20</w:t>
      </w:r>
      <w:r w:rsidRPr="000F64C7">
        <w:rPr>
          <w:i/>
        </w:rPr>
        <w:tab/>
        <w:t>Require new development to contribute its fair share cost of circulation improvements necessary to address cumulative transportation impacts on roadways throughout the City as well as the bicycle and pedestrian network.</w:t>
      </w:r>
    </w:p>
    <w:p w:rsidR="005A21CA" w:rsidRPr="000F64C7" w:rsidRDefault="005A21CA" w:rsidP="000F64C7">
      <w:pPr>
        <w:pStyle w:val="Policy"/>
        <w:ind w:left="0"/>
        <w:rPr>
          <w:i/>
        </w:rPr>
      </w:pPr>
      <w:r w:rsidRPr="000F64C7">
        <w:rPr>
          <w:b/>
          <w:i/>
        </w:rPr>
        <w:t>Policy CI 1.21</w:t>
      </w:r>
      <w:r w:rsidRPr="000F64C7">
        <w:rPr>
          <w:i/>
        </w:rPr>
        <w:tab/>
        <w:t xml:space="preserve">Require development projects to provide land dedications or pay fees in order to provide bike paths, sidewalks, and walkways. </w:t>
      </w:r>
    </w:p>
    <w:p w:rsidR="005A21CA" w:rsidRPr="000F64C7" w:rsidRDefault="005A21CA" w:rsidP="000F64C7">
      <w:pPr>
        <w:pStyle w:val="Policy"/>
        <w:ind w:left="0"/>
        <w:rPr>
          <w:i/>
        </w:rPr>
      </w:pPr>
      <w:r w:rsidRPr="000F64C7">
        <w:rPr>
          <w:b/>
          <w:i/>
        </w:rPr>
        <w:t>Policy CI 2.17</w:t>
      </w:r>
      <w:r w:rsidRPr="000F64C7">
        <w:rPr>
          <w:i/>
        </w:rPr>
        <w:tab/>
        <w:t>Safe and continuous pedestrian, vehicular, and bicycle access shall be provided at all transit park-and-ride facilities.</w:t>
      </w:r>
    </w:p>
    <w:p w:rsidR="005A21CA" w:rsidRPr="000F64C7" w:rsidRDefault="005A21CA" w:rsidP="000F64C7">
      <w:pPr>
        <w:pStyle w:val="Policy"/>
        <w:ind w:left="0"/>
        <w:rPr>
          <w:i/>
        </w:rPr>
      </w:pPr>
      <w:r w:rsidRPr="000F64C7">
        <w:rPr>
          <w:b/>
          <w:i/>
        </w:rPr>
        <w:t>Policy CI 2.18</w:t>
      </w:r>
      <w:r w:rsidRPr="000F64C7">
        <w:rPr>
          <w:i/>
        </w:rPr>
        <w:tab/>
        <w:t>Pursue improvements and funding to increase transit ridership, increase transit frequencies on key corridors, increase the hours of transit operation, and expand regular transit service in portions of Cotati that currently have no public transit.</w:t>
      </w:r>
    </w:p>
    <w:p w:rsidR="005A21CA" w:rsidRPr="000F64C7" w:rsidRDefault="005A21CA" w:rsidP="000F64C7">
      <w:pPr>
        <w:rPr>
          <w:rFonts w:eastAsia="Calibri"/>
          <w:i/>
        </w:rPr>
      </w:pPr>
      <w:r w:rsidRPr="000F64C7">
        <w:rPr>
          <w:rFonts w:eastAsia="Calibri"/>
          <w:b/>
          <w:i/>
        </w:rPr>
        <w:lastRenderedPageBreak/>
        <w:t xml:space="preserve">Policy CI 2.19 </w:t>
      </w:r>
      <w:r w:rsidRPr="000F64C7">
        <w:rPr>
          <w:rFonts w:eastAsia="Calibri"/>
          <w:b/>
          <w:i/>
        </w:rPr>
        <w:tab/>
      </w:r>
      <w:r w:rsidRPr="000F64C7">
        <w:rPr>
          <w:rFonts w:eastAsia="Calibri"/>
          <w:i/>
        </w:rPr>
        <w:t>Establish the SMART multi-modal transit station on East Cotati Avenue and Santero Way to provide a link between commuter rail, bus, pedestrian, and bicycle travel and to provide retail and services to serve SMART transit users.</w:t>
      </w:r>
    </w:p>
    <w:p w:rsidR="005A21CA" w:rsidRDefault="005A21CA" w:rsidP="005A21CA">
      <w:pPr>
        <w:pStyle w:val="Policy"/>
        <w:tabs>
          <w:tab w:val="clear" w:pos="720"/>
          <w:tab w:val="left" w:pos="1440"/>
        </w:tabs>
        <w:ind w:left="0"/>
        <w:rPr>
          <w:i/>
        </w:rPr>
      </w:pPr>
      <w:r>
        <w:rPr>
          <w:i/>
          <w:u w:val="single"/>
        </w:rPr>
        <w:t>Actions</w:t>
      </w:r>
    </w:p>
    <w:p w:rsidR="005A21CA" w:rsidRPr="000719FE" w:rsidRDefault="005A21CA" w:rsidP="005A21CA">
      <w:pPr>
        <w:pStyle w:val="Action"/>
        <w:ind w:left="0"/>
      </w:pPr>
      <w:r w:rsidRPr="000719FE">
        <w:rPr>
          <w:u w:val="single"/>
        </w:rPr>
        <w:t>Action CON 2a</w:t>
      </w:r>
      <w:r w:rsidRPr="000719FE">
        <w:t xml:space="preserve">: Review all new industrial and commercial development projects for potential air quality impacts to residences and other sensitive receptors. Staff shall ensure that mitigation measures and best management practices are implemented to reduce significant emissions of criteria pollutants. </w:t>
      </w:r>
    </w:p>
    <w:p w:rsidR="005A21CA" w:rsidRPr="000719FE" w:rsidRDefault="005A21CA" w:rsidP="005A21CA">
      <w:pPr>
        <w:pStyle w:val="Action"/>
        <w:ind w:left="0"/>
      </w:pPr>
      <w:r w:rsidRPr="000719FE">
        <w:rPr>
          <w:u w:val="single"/>
        </w:rPr>
        <w:t>Action CON 2b:</w:t>
      </w:r>
      <w:r w:rsidRPr="000719FE">
        <w:t xml:space="preserve"> Refer development, infrastructure, and planning projects to the Bay Area Air Quality Management District (BAAQMD) for review. Require project applicants to prepare air quality analyses to address BAAQMD and General Plan requirements, which include analysis and identification of:</w:t>
      </w:r>
    </w:p>
    <w:p w:rsidR="005A21CA" w:rsidRPr="000719FE" w:rsidRDefault="005A21CA" w:rsidP="005A21CA">
      <w:pPr>
        <w:pStyle w:val="Action"/>
        <w:numPr>
          <w:ilvl w:val="0"/>
          <w:numId w:val="27"/>
        </w:numPr>
        <w:ind w:left="720"/>
      </w:pPr>
      <w:r w:rsidRPr="000719FE">
        <w:t>Air pollutant emissions associated with the project during construction, project operation, and cumulative conditions.</w:t>
      </w:r>
    </w:p>
    <w:p w:rsidR="005A21CA" w:rsidRPr="000719FE" w:rsidRDefault="005A21CA" w:rsidP="005A21CA">
      <w:pPr>
        <w:pStyle w:val="Action"/>
        <w:numPr>
          <w:ilvl w:val="0"/>
          <w:numId w:val="27"/>
        </w:numPr>
        <w:ind w:left="720"/>
      </w:pPr>
      <w:r w:rsidRPr="000719FE">
        <w:t>Potential exposure of sensitive receptors to toxic air contaminants.</w:t>
      </w:r>
    </w:p>
    <w:p w:rsidR="005A21CA" w:rsidRPr="000719FE" w:rsidRDefault="005A21CA" w:rsidP="005A21CA">
      <w:pPr>
        <w:pStyle w:val="Action"/>
        <w:numPr>
          <w:ilvl w:val="0"/>
          <w:numId w:val="27"/>
        </w:numPr>
        <w:ind w:left="720"/>
      </w:pPr>
      <w:r w:rsidRPr="000719FE">
        <w:t>Significant air quality impacts associated with the project for construction, project operation, and cumulative conditions.</w:t>
      </w:r>
    </w:p>
    <w:p w:rsidR="005A21CA" w:rsidRPr="000719FE" w:rsidRDefault="005A21CA" w:rsidP="005A21CA">
      <w:pPr>
        <w:pStyle w:val="Action"/>
        <w:numPr>
          <w:ilvl w:val="0"/>
          <w:numId w:val="27"/>
        </w:numPr>
        <w:ind w:left="720"/>
      </w:pPr>
      <w:r w:rsidRPr="000719FE">
        <w:t>Mitigation measures to reduce significant impacts to less than significant or the maximum extent feasible where impacts cannot be mitigated to less than significant.</w:t>
      </w:r>
    </w:p>
    <w:p w:rsidR="005A21CA" w:rsidRPr="000719FE" w:rsidRDefault="005A21CA" w:rsidP="005A21CA">
      <w:pPr>
        <w:pStyle w:val="Policy"/>
        <w:ind w:left="0"/>
        <w:rPr>
          <w:i/>
        </w:rPr>
      </w:pPr>
      <w:r w:rsidRPr="000719FE">
        <w:rPr>
          <w:i/>
          <w:u w:val="single"/>
        </w:rPr>
        <w:t>Action CON 2c</w:t>
      </w:r>
      <w:r w:rsidRPr="000719FE">
        <w:rPr>
          <w:i/>
        </w:rPr>
        <w:t>: Adequate buffers between new industrial uses and sensitive receptors shall be required to avoid potential air quality and nuisance impacts.</w:t>
      </w:r>
    </w:p>
    <w:p w:rsidR="005A21CA" w:rsidRPr="000719FE" w:rsidRDefault="005A21CA" w:rsidP="005A21CA">
      <w:pPr>
        <w:pStyle w:val="Policy"/>
        <w:ind w:left="0"/>
        <w:rPr>
          <w:i/>
        </w:rPr>
      </w:pPr>
      <w:r w:rsidRPr="000719FE">
        <w:rPr>
          <w:i/>
          <w:u w:val="single"/>
        </w:rPr>
        <w:t>Action CON 2d</w:t>
      </w:r>
      <w:r w:rsidRPr="000719FE">
        <w:rPr>
          <w:i/>
        </w:rPr>
        <w:t xml:space="preserve">: Provide a Conservation Page (or Environmental Page) on the City’s website provides links to resource agencies (ARB, BAAWMD, EPA, etc.) and provides information, regarding local and regional conservation and environmental programs, to the extent the City has readily available information, including methods for pollution prevention, including reduced air pollutant and greenhouse gas emissions through use of alternative forms of transportation (bicycling, pedestrian, transit), through reducing wood-burning activities using EPA-certified wood-burning devices, etc. </w:t>
      </w:r>
    </w:p>
    <w:p w:rsidR="005A21CA" w:rsidRPr="000719FE" w:rsidRDefault="005A21CA" w:rsidP="005A21CA">
      <w:pPr>
        <w:pStyle w:val="Policy"/>
        <w:ind w:left="0"/>
        <w:rPr>
          <w:i/>
        </w:rPr>
      </w:pPr>
      <w:r w:rsidRPr="000719FE">
        <w:rPr>
          <w:i/>
          <w:u w:val="single"/>
        </w:rPr>
        <w:t>Action CON 2e</w:t>
      </w:r>
      <w:r w:rsidRPr="000719FE">
        <w:rPr>
          <w:i/>
        </w:rPr>
        <w:t>:</w:t>
      </w:r>
      <w:r w:rsidRPr="000719FE">
        <w:rPr>
          <w:i/>
        </w:rPr>
        <w:tab/>
        <w:t xml:space="preserve"> Continue to review new development, significant remodels, and infrastructure projects for consistency with the Sonoma County Community Climate Action Plan and Greenhouse Gas Reduction and Implementation Plan (GRIP). </w:t>
      </w:r>
    </w:p>
    <w:p w:rsidR="005A21CA" w:rsidRPr="000719FE" w:rsidRDefault="005A21CA" w:rsidP="005A21CA">
      <w:pPr>
        <w:pStyle w:val="Policy"/>
        <w:ind w:left="0"/>
        <w:rPr>
          <w:rFonts w:eastAsia="Calibri"/>
          <w:bCs w:val="0"/>
          <w:i/>
          <w:szCs w:val="22"/>
        </w:rPr>
      </w:pPr>
      <w:r w:rsidRPr="000719FE">
        <w:rPr>
          <w:i/>
          <w:u w:val="single"/>
        </w:rPr>
        <w:t>Action CON 2f</w:t>
      </w:r>
      <w:r w:rsidRPr="000719FE">
        <w:rPr>
          <w:i/>
        </w:rPr>
        <w:t xml:space="preserve">: Regularly monitor and track the City’s progress towards meeting the municipal GHG reduction goals contained in the 2008 </w:t>
      </w:r>
      <w:r w:rsidRPr="000719FE">
        <w:rPr>
          <w:rFonts w:eastAsia="Calibri"/>
          <w:bCs w:val="0"/>
          <w:i/>
          <w:szCs w:val="22"/>
        </w:rPr>
        <w:t>Cotati Greenhouse Gas Emissions Reduction Action Plan.</w:t>
      </w:r>
    </w:p>
    <w:p w:rsidR="005A21CA" w:rsidRPr="000719FE" w:rsidRDefault="005A21CA" w:rsidP="005A21CA">
      <w:pPr>
        <w:pStyle w:val="Policy"/>
        <w:ind w:left="0"/>
        <w:rPr>
          <w:i/>
        </w:rPr>
      </w:pPr>
      <w:r w:rsidRPr="000719FE">
        <w:rPr>
          <w:i/>
          <w:u w:val="single"/>
        </w:rPr>
        <w:t>Action CON 2g:</w:t>
      </w:r>
      <w:r w:rsidRPr="000719FE">
        <w:rPr>
          <w:i/>
        </w:rPr>
        <w:t xml:space="preserve"> Update the City’s 2008 </w:t>
      </w:r>
      <w:r w:rsidRPr="000719FE">
        <w:rPr>
          <w:rFonts w:eastAsia="Calibri"/>
          <w:bCs w:val="0"/>
          <w:i/>
          <w:szCs w:val="22"/>
        </w:rPr>
        <w:t xml:space="preserve">Greenhouse Gas Emissions Reduction Action Plan every five years, or more frequently if the City Council deems appropriate, to make progress towards the City’s GHG reduction goals. </w:t>
      </w:r>
    </w:p>
    <w:p w:rsidR="005A21CA" w:rsidRPr="000719FE" w:rsidRDefault="005A21CA" w:rsidP="005A21CA">
      <w:pPr>
        <w:pStyle w:val="Policy"/>
        <w:tabs>
          <w:tab w:val="clear" w:pos="720"/>
          <w:tab w:val="left" w:pos="630"/>
          <w:tab w:val="left" w:pos="1440"/>
        </w:tabs>
        <w:ind w:left="0"/>
        <w:rPr>
          <w:i/>
          <w:u w:val="single"/>
        </w:rPr>
      </w:pPr>
      <w:r w:rsidRPr="000719FE">
        <w:rPr>
          <w:i/>
          <w:u w:val="single"/>
        </w:rPr>
        <w:lastRenderedPageBreak/>
        <w:t>Action CON 3a</w:t>
      </w:r>
      <w:r w:rsidRPr="000719FE">
        <w:rPr>
          <w:i/>
        </w:rPr>
        <w:t>: Continue to review development projects to ensure that all new public and privately development complies with CALGreen Tier 1 standards as well as the energy efficiency standards established by the General Plan and Land Use Code.</w:t>
      </w:r>
    </w:p>
    <w:p w:rsidR="005A21CA" w:rsidRPr="000719FE" w:rsidRDefault="005A21CA" w:rsidP="005A21CA">
      <w:pPr>
        <w:pStyle w:val="Policy"/>
        <w:tabs>
          <w:tab w:val="clear" w:pos="720"/>
          <w:tab w:val="left" w:pos="990"/>
        </w:tabs>
        <w:ind w:left="0"/>
        <w:rPr>
          <w:i/>
        </w:rPr>
      </w:pPr>
      <w:r w:rsidRPr="000719FE">
        <w:rPr>
          <w:i/>
          <w:u w:val="single"/>
        </w:rPr>
        <w:t>Action CON 3b</w:t>
      </w:r>
      <w:r w:rsidRPr="000719FE">
        <w:rPr>
          <w:i/>
        </w:rPr>
        <w:t>:</w:t>
      </w:r>
      <w:r w:rsidRPr="000719FE">
        <w:rPr>
          <w:i/>
        </w:rPr>
        <w:tab/>
        <w:t xml:space="preserve"> Amend the Land Use Code to include a requirement that all new swimming pools be solar heated. </w:t>
      </w:r>
    </w:p>
    <w:p w:rsidR="005A21CA" w:rsidRPr="000719FE" w:rsidRDefault="005A21CA" w:rsidP="005A21CA">
      <w:pPr>
        <w:pStyle w:val="Policy"/>
        <w:tabs>
          <w:tab w:val="clear" w:pos="720"/>
          <w:tab w:val="left" w:pos="990"/>
        </w:tabs>
        <w:ind w:left="0"/>
        <w:rPr>
          <w:i/>
        </w:rPr>
      </w:pPr>
      <w:r w:rsidRPr="000719FE">
        <w:rPr>
          <w:i/>
          <w:u w:val="single"/>
        </w:rPr>
        <w:t>Action CON 3c</w:t>
      </w:r>
      <w:r w:rsidRPr="000719FE">
        <w:rPr>
          <w:i/>
        </w:rPr>
        <w:t xml:space="preserve">: Connect residents and businesses with programs that provide free or low-cost energy efficiency audits and retrofits to existing buildings. </w:t>
      </w:r>
    </w:p>
    <w:p w:rsidR="005A21CA" w:rsidRPr="000719FE" w:rsidRDefault="005A21CA" w:rsidP="005A21CA">
      <w:pPr>
        <w:pStyle w:val="Policy"/>
        <w:tabs>
          <w:tab w:val="clear" w:pos="720"/>
          <w:tab w:val="left" w:pos="990"/>
        </w:tabs>
        <w:ind w:left="0"/>
        <w:rPr>
          <w:i/>
        </w:rPr>
      </w:pPr>
      <w:r w:rsidRPr="000719FE">
        <w:rPr>
          <w:i/>
          <w:u w:val="single"/>
        </w:rPr>
        <w:t>Action CON 3d</w:t>
      </w:r>
      <w:r w:rsidRPr="000719FE">
        <w:rPr>
          <w:i/>
        </w:rPr>
        <w:t xml:space="preserve">: Amend the Municipal Code to incentive the use of small-scale renewable energy facilities and, where appropriate, to remove impediments to such uses. </w:t>
      </w:r>
    </w:p>
    <w:p w:rsidR="005A21CA" w:rsidRPr="000719FE" w:rsidRDefault="005A21CA" w:rsidP="005A21CA">
      <w:pPr>
        <w:pStyle w:val="Policy"/>
        <w:tabs>
          <w:tab w:val="clear" w:pos="720"/>
          <w:tab w:val="left" w:pos="1440"/>
        </w:tabs>
        <w:ind w:left="0"/>
        <w:rPr>
          <w:i/>
        </w:rPr>
      </w:pPr>
      <w:r w:rsidRPr="000719FE">
        <w:rPr>
          <w:i/>
          <w:u w:val="single"/>
        </w:rPr>
        <w:t>Action CON 3e</w:t>
      </w:r>
      <w:r w:rsidRPr="000719FE">
        <w:rPr>
          <w:i/>
        </w:rPr>
        <w:t xml:space="preserve">: </w:t>
      </w:r>
      <w:r w:rsidRPr="000719FE">
        <w:rPr>
          <w:i/>
        </w:rPr>
        <w:tab/>
        <w:t xml:space="preserve">Amend the Land Use Code to include provisions for alternatives to traditional paved surfaces, e.g. turf block, where appropriate. </w:t>
      </w:r>
    </w:p>
    <w:p w:rsidR="005A21CA" w:rsidRPr="000719FE" w:rsidRDefault="005A21CA" w:rsidP="005A21CA">
      <w:pPr>
        <w:pStyle w:val="Policy"/>
        <w:tabs>
          <w:tab w:val="clear" w:pos="720"/>
          <w:tab w:val="left" w:pos="1440"/>
        </w:tabs>
        <w:ind w:left="0"/>
        <w:rPr>
          <w:i/>
        </w:rPr>
      </w:pPr>
      <w:r w:rsidRPr="000719FE">
        <w:rPr>
          <w:i/>
          <w:u w:val="single"/>
        </w:rPr>
        <w:t>Action CON 3f</w:t>
      </w:r>
      <w:r w:rsidRPr="000719FE">
        <w:rPr>
          <w:i/>
        </w:rPr>
        <w:t>:</w:t>
      </w:r>
      <w:r w:rsidRPr="000719FE">
        <w:rPr>
          <w:i/>
        </w:rPr>
        <w:tab/>
        <w:t xml:space="preserve">Review development applications consistency with the solar access, building orientation, shade tree, and other climate-related provisions in the General plan, Land Use Code, and Design Review Standards. </w:t>
      </w:r>
    </w:p>
    <w:p w:rsidR="005A21CA" w:rsidRPr="000719FE" w:rsidRDefault="005A21CA" w:rsidP="005A21CA">
      <w:pPr>
        <w:pStyle w:val="Policy"/>
        <w:tabs>
          <w:tab w:val="clear" w:pos="720"/>
          <w:tab w:val="left" w:pos="1440"/>
        </w:tabs>
        <w:ind w:left="0"/>
        <w:rPr>
          <w:i/>
        </w:rPr>
      </w:pPr>
      <w:r w:rsidRPr="000719FE">
        <w:rPr>
          <w:i/>
          <w:u w:val="single"/>
        </w:rPr>
        <w:t>Action CON 3g</w:t>
      </w:r>
      <w:r w:rsidRPr="000719FE">
        <w:rPr>
          <w:i/>
        </w:rPr>
        <w:t>:</w:t>
      </w:r>
      <w:r w:rsidRPr="000719FE">
        <w:rPr>
          <w:i/>
        </w:rPr>
        <w:tab/>
        <w:t>Establish an annual tree planting day, making every effort to collaborate with and engage civic and community groups and local nurseries to assist with providing trees, outreach, and coordination.</w:t>
      </w:r>
    </w:p>
    <w:p w:rsidR="005A21CA" w:rsidRPr="000719FE" w:rsidRDefault="005A21CA" w:rsidP="005A21CA">
      <w:pPr>
        <w:pStyle w:val="Policy"/>
        <w:tabs>
          <w:tab w:val="clear" w:pos="720"/>
          <w:tab w:val="left" w:pos="990"/>
        </w:tabs>
        <w:ind w:left="0"/>
        <w:rPr>
          <w:i/>
          <w:u w:val="single"/>
        </w:rPr>
      </w:pPr>
      <w:r w:rsidRPr="000719FE">
        <w:rPr>
          <w:i/>
          <w:u w:val="single"/>
        </w:rPr>
        <w:t>Action CON 3h:</w:t>
      </w:r>
      <w:r w:rsidRPr="000719FE">
        <w:rPr>
          <w:i/>
        </w:rPr>
        <w:tab/>
        <w:t xml:space="preserve"> Update the Design Guidelines to encourage the use of trees for windbreaks and wind channeling in new development and to ensure that deciduous trees do not interfere with solar access.</w:t>
      </w:r>
    </w:p>
    <w:p w:rsidR="005A21CA" w:rsidRPr="000719FE" w:rsidRDefault="005A21CA" w:rsidP="005A21CA">
      <w:pPr>
        <w:pStyle w:val="Action"/>
        <w:ind w:left="0"/>
      </w:pPr>
      <w:r w:rsidRPr="000719FE">
        <w:rPr>
          <w:u w:val="single"/>
        </w:rPr>
        <w:t>Action CON 3i</w:t>
      </w:r>
      <w:r w:rsidRPr="000719FE">
        <w:t>: Provide a Conservation Page (or Environmental Page) on the City’s website provides links to resource agencies and provides information, regarding local and regional conservation and environmental programs, to the extent the City has readily available information, including recycling guidance for single family residences, businesses, and apartments, opportunities for reuse of materials, a description of how to compost, and a description of methods to reduce water use, such as appropriate re-use and recycling of water, water conservation measures, and xeriscaping</w:t>
      </w:r>
    </w:p>
    <w:p w:rsidR="005A21CA" w:rsidRPr="000719FE" w:rsidRDefault="005A21CA" w:rsidP="005A21CA">
      <w:pPr>
        <w:pStyle w:val="Action"/>
        <w:ind w:left="0"/>
      </w:pPr>
      <w:r w:rsidRPr="000719FE">
        <w:rPr>
          <w:u w:val="single"/>
        </w:rPr>
        <w:t>Action CON 3j</w:t>
      </w:r>
      <w:r w:rsidRPr="000719FE">
        <w:t>: Develop a list of drought</w:t>
      </w:r>
      <w:r w:rsidRPr="000719FE">
        <w:noBreakHyphen/>
        <w:t xml:space="preserve">tolerant and native plants appropriate for use in Cotati and review development projects for adherence to this list. </w:t>
      </w:r>
    </w:p>
    <w:p w:rsidR="005A21CA" w:rsidRPr="000719FE" w:rsidRDefault="005A21CA" w:rsidP="005A21CA">
      <w:pPr>
        <w:pStyle w:val="Policy"/>
        <w:tabs>
          <w:tab w:val="clear" w:pos="720"/>
          <w:tab w:val="left" w:pos="1440"/>
        </w:tabs>
        <w:ind w:left="0"/>
        <w:rPr>
          <w:i/>
        </w:rPr>
      </w:pPr>
      <w:r w:rsidRPr="000719FE">
        <w:rPr>
          <w:i/>
          <w:u w:val="single"/>
        </w:rPr>
        <w:t>Action CON 3k</w:t>
      </w:r>
      <w:r w:rsidRPr="000719FE">
        <w:rPr>
          <w:i/>
        </w:rPr>
        <w:t>:</w:t>
      </w:r>
      <w:r w:rsidRPr="000719FE">
        <w:rPr>
          <w:i/>
        </w:rPr>
        <w:tab/>
        <w:t xml:space="preserve"> Continue implementing the City Tree Preservation and Protection Ordinance (Chapter 17.54 of the Municipal Code). </w:t>
      </w:r>
    </w:p>
    <w:p w:rsidR="005A21CA" w:rsidRPr="000719FE" w:rsidRDefault="005A21CA" w:rsidP="005A21CA">
      <w:pPr>
        <w:pStyle w:val="Policy"/>
        <w:tabs>
          <w:tab w:val="clear" w:pos="720"/>
          <w:tab w:val="left" w:pos="1440"/>
        </w:tabs>
        <w:ind w:left="0"/>
        <w:rPr>
          <w:i/>
        </w:rPr>
      </w:pPr>
      <w:r w:rsidRPr="000719FE">
        <w:rPr>
          <w:i/>
          <w:u w:val="single"/>
        </w:rPr>
        <w:t>Action CON 3l</w:t>
      </w:r>
      <w:r w:rsidRPr="000719FE">
        <w:rPr>
          <w:i/>
        </w:rPr>
        <w:t>: Periodically undertake a citywide notification program to notify the citizens and arborists doing business within the City limits of the tree preservation requirements.</w:t>
      </w:r>
    </w:p>
    <w:p w:rsidR="005A21CA" w:rsidRPr="000719FE" w:rsidRDefault="005A21CA" w:rsidP="005A21CA">
      <w:pPr>
        <w:pStyle w:val="Policy"/>
        <w:tabs>
          <w:tab w:val="clear" w:pos="720"/>
          <w:tab w:val="left" w:pos="1440"/>
        </w:tabs>
        <w:ind w:left="0"/>
        <w:rPr>
          <w:i/>
        </w:rPr>
      </w:pPr>
      <w:r w:rsidRPr="000719FE">
        <w:rPr>
          <w:i/>
          <w:u w:val="single"/>
        </w:rPr>
        <w:t>Action CON 3m</w:t>
      </w:r>
      <w:r w:rsidRPr="000719FE">
        <w:rPr>
          <w:i/>
        </w:rPr>
        <w:t>:</w:t>
      </w:r>
      <w:r w:rsidRPr="000719FE">
        <w:rPr>
          <w:i/>
        </w:rPr>
        <w:tab/>
        <w:t xml:space="preserve"> Through the use of public funds, where available, provide for the screening of public parking areas through the use of trees, shrubs, berms, and evergreen plants</w:t>
      </w:r>
    </w:p>
    <w:p w:rsidR="005A21CA" w:rsidRPr="000719FE" w:rsidRDefault="005A21CA" w:rsidP="005A21CA">
      <w:pPr>
        <w:pStyle w:val="Policy"/>
        <w:tabs>
          <w:tab w:val="clear" w:pos="720"/>
          <w:tab w:val="left" w:pos="1440"/>
        </w:tabs>
        <w:ind w:left="0"/>
        <w:rPr>
          <w:i/>
        </w:rPr>
      </w:pPr>
      <w:r w:rsidRPr="000719FE">
        <w:rPr>
          <w:i/>
          <w:u w:val="single"/>
        </w:rPr>
        <w:t>Action CON 3n</w:t>
      </w:r>
      <w:r w:rsidRPr="000719FE">
        <w:rPr>
          <w:i/>
        </w:rPr>
        <w:t>: Through the development review process, the City shall encourage the use of deciduous trees to promote energy conservation.</w:t>
      </w:r>
    </w:p>
    <w:p w:rsidR="005A21CA" w:rsidRPr="000719FE" w:rsidRDefault="005A21CA" w:rsidP="005A21CA">
      <w:pPr>
        <w:pStyle w:val="Policy"/>
        <w:tabs>
          <w:tab w:val="clear" w:pos="720"/>
          <w:tab w:val="left" w:pos="1440"/>
        </w:tabs>
        <w:ind w:left="0"/>
        <w:rPr>
          <w:i/>
        </w:rPr>
      </w:pPr>
      <w:r w:rsidRPr="000719FE">
        <w:rPr>
          <w:i/>
          <w:u w:val="single"/>
        </w:rPr>
        <w:lastRenderedPageBreak/>
        <w:t>Action CON 3o</w:t>
      </w:r>
      <w:r w:rsidRPr="000719FE">
        <w:rPr>
          <w:i/>
        </w:rPr>
        <w:t>: During the development review process, discourage the loss of native trees in accordance with the Tree Preservation and Protection Ordinance (Chapter 17.54 of the Municipal Code).</w:t>
      </w:r>
    </w:p>
    <w:p w:rsidR="005A21CA" w:rsidRPr="000719FE" w:rsidRDefault="005A21CA" w:rsidP="005A21CA">
      <w:pPr>
        <w:pStyle w:val="Policy"/>
        <w:tabs>
          <w:tab w:val="clear" w:pos="720"/>
          <w:tab w:val="left" w:pos="1440"/>
        </w:tabs>
        <w:ind w:left="0"/>
        <w:rPr>
          <w:i/>
        </w:rPr>
      </w:pPr>
      <w:r w:rsidRPr="000719FE">
        <w:rPr>
          <w:i/>
          <w:u w:val="single"/>
        </w:rPr>
        <w:t>Action CON 3p</w:t>
      </w:r>
      <w:r w:rsidRPr="000719FE">
        <w:rPr>
          <w:i/>
        </w:rPr>
        <w:t>: The City shall continue to implement the landscape and tree ordinance to give preference to native and drought tolerant species. The Planning Division shall review and revise as necessary.</w:t>
      </w:r>
    </w:p>
    <w:p w:rsidR="005A21CA" w:rsidRPr="000719FE" w:rsidRDefault="005A21CA" w:rsidP="005A21CA">
      <w:pPr>
        <w:pStyle w:val="Policy"/>
        <w:tabs>
          <w:tab w:val="clear" w:pos="720"/>
          <w:tab w:val="left" w:pos="1440"/>
        </w:tabs>
        <w:ind w:left="0"/>
        <w:rPr>
          <w:i/>
        </w:rPr>
      </w:pPr>
      <w:r w:rsidRPr="000719FE">
        <w:rPr>
          <w:i/>
          <w:u w:val="single"/>
        </w:rPr>
        <w:t>Action CON 3q</w:t>
      </w:r>
      <w:r w:rsidRPr="000719FE">
        <w:rPr>
          <w:i/>
        </w:rPr>
        <w:t>: Design Review criteria shall be prepared to require that creeks, trees, views and features unique to the site be preserved and incorporated into design proposals. The Design Review Committee shall insure that new development meets the criteria.</w:t>
      </w:r>
    </w:p>
    <w:p w:rsidR="005A21CA" w:rsidRPr="000719FE" w:rsidRDefault="005A21CA" w:rsidP="005A21CA">
      <w:pPr>
        <w:pStyle w:val="Policy"/>
        <w:tabs>
          <w:tab w:val="clear" w:pos="720"/>
          <w:tab w:val="left" w:pos="1440"/>
        </w:tabs>
        <w:ind w:left="0"/>
        <w:rPr>
          <w:i/>
        </w:rPr>
      </w:pPr>
      <w:r w:rsidRPr="000719FE">
        <w:rPr>
          <w:i/>
          <w:u w:val="single"/>
        </w:rPr>
        <w:t>Action CON 3r</w:t>
      </w:r>
      <w:r w:rsidRPr="000719FE">
        <w:rPr>
          <w:i/>
        </w:rPr>
        <w:t xml:space="preserve">: Through the use of public funds, where available, provide educational plant and tree labeling in City parks and City-maintained plant demonstration areas to educate and inform residents of native plant and tree species planted and maintained in Cotati. </w:t>
      </w:r>
    </w:p>
    <w:p w:rsidR="005A21CA" w:rsidRPr="000C108F" w:rsidRDefault="005A21CA" w:rsidP="005A21CA">
      <w:pPr>
        <w:pStyle w:val="Heading4"/>
      </w:pPr>
      <w:r w:rsidRPr="00DA43CB">
        <w:t>Impact 3.2-2: The General Plan would not cause health risks associated with toxic air contaminants (Less than Significant)</w:t>
      </w:r>
    </w:p>
    <w:p w:rsidR="005A21CA" w:rsidRPr="000C108F" w:rsidRDefault="005A21CA" w:rsidP="005A21CA">
      <w:r w:rsidRPr="000C108F">
        <w:t xml:space="preserve">Controlling toxic air contaminants (TACs) became a national priority with the passage of the Clean Air Act Amendments (CAAA) of 1990, whereby Congress mandated that the U.S. Environmental Protection Agency (EPA) regulate 188 air toxics, also known as hazardous air pollutants. The EPA has assessed this expansive list in their latest rule on the Control of Hazardous Air Pollutants from Mobile Sources (Federal Register, Vol. 72, No. 37, page 8430, February 26, 2007) and identified a group of 93 compounds emitted from mobile sources. In addition, EPA identified seven compounds with significant contributions from mobile sources that are among the national and regional-scale cancer risk drivers from their 1999 National Air Toxics Assessment. These are acrolein, benzene, 1,3-butidiene, diesel particulate matter plus diesel exhaust organic gases (diesel PM), formaldehyde, naphthalene, and polycyclic organic matter. </w:t>
      </w:r>
    </w:p>
    <w:p w:rsidR="005A21CA" w:rsidRPr="00CF50C0" w:rsidRDefault="005A21CA" w:rsidP="005A21CA">
      <w:r w:rsidRPr="000B5BA8">
        <w:t xml:space="preserve">The 2007 EPA rule requires controls that will dramatically decrease Mobile Source Air Toxics (MSAT) emissions through cleaner fuels and cleaner engines. According to an FHWA analysis using EPA’s MOBILE6.2 model, even if vehicle activity (VMT) increases by 145 percent, a combined reduction of 72 percent in the total annual emission rate for the priority MSAT is projected from 1999 to 2050. California maintains stricter </w:t>
      </w:r>
      <w:r w:rsidRPr="00CF50C0">
        <w:t xml:space="preserve">standards for clean fuels and emissions compared to the national standards, therefore it is expected that MSAT trends in California will decrease consistent with or more than the U.S. EPA's national projections. </w:t>
      </w:r>
    </w:p>
    <w:p w:rsidR="005A21CA" w:rsidRDefault="005A21CA" w:rsidP="005A21CA">
      <w:r w:rsidRPr="00CF50C0">
        <w:t>Currently, the ARB monitors toxics throughout California from 15 monitoring sites; however, there are no toxic air monitoring sites located in the City of Cotati. The closest toxic air monitoring site to Cotati is in San Rafael. As air toxics research continues, new tools and</w:t>
      </w:r>
      <w:r w:rsidRPr="006208A6">
        <w:t xml:space="preserve"> techniques will be developed for assessing </w:t>
      </w:r>
      <w:r w:rsidRPr="002E6948">
        <w:t xml:space="preserve">health outcomes as a result of lifetime air toxics exposure. </w:t>
      </w:r>
    </w:p>
    <w:p w:rsidR="005A21CA" w:rsidRPr="00CF50C0" w:rsidRDefault="005A21CA" w:rsidP="005A21CA">
      <w:pPr>
        <w:rPr>
          <w:sz w:val="23"/>
          <w:szCs w:val="23"/>
        </w:rPr>
      </w:pPr>
      <w:r w:rsidRPr="00CF50C0">
        <w:t xml:space="preserve">Health risks associated with TACs are most pronounced in the areas adjacent to the freeway segments (i.e. U.S. 101 and S.R. 92). Under the </w:t>
      </w:r>
      <w:r w:rsidRPr="00CF50C0">
        <w:rPr>
          <w:sz w:val="23"/>
          <w:szCs w:val="23"/>
        </w:rPr>
        <w:t xml:space="preserve">Community Air Risk Evaluation (CARE) program, the BAAQMD has designated certain areas as “Impacted Communities” if the following occur: </w:t>
      </w:r>
      <w:r w:rsidRPr="00CF50C0">
        <w:rPr>
          <w:sz w:val="23"/>
          <w:szCs w:val="23"/>
        </w:rPr>
        <w:lastRenderedPageBreak/>
        <w:t xml:space="preserve">the areas (1) are close to or within areas of high TAC emissions, (2) have sensitive populations, defined as youth and seniors, with significant TAC exposures, and (3) have significant poverty. </w:t>
      </w:r>
      <w:r w:rsidRPr="00CF50C0">
        <w:t>The City of Cotati is not mapped by the BAAQMD as an Impacted Community under the CARE program</w:t>
      </w:r>
      <w:r w:rsidRPr="00CF50C0">
        <w:rPr>
          <w:sz w:val="23"/>
          <w:szCs w:val="23"/>
        </w:rPr>
        <w:t xml:space="preserve">. </w:t>
      </w:r>
    </w:p>
    <w:p w:rsidR="005A21CA" w:rsidRPr="000760B4" w:rsidRDefault="005A21CA" w:rsidP="005A21CA">
      <w:r w:rsidRPr="000760B4">
        <w:t xml:space="preserve">Regardless of the existing health risks associated with TACs, the BAAQMD CEQA Guidelines provide recommendations for all communities to ensure reduced health risks associated with TACs. The General Plan includes policies that are intended to minimize exposure of TACs to sensitive receptors (listed below). These policies and actions are consistent with the BAAQMD recommendations that are intended to reduce health risks associated with TACs. </w:t>
      </w:r>
      <w:r w:rsidR="000F64C7">
        <w:t xml:space="preserve">It is also noted that the General Plan Land Use Map does not place additional housing in close proximity to the Highway 101 corridor, and adoption of the Land Use Map would not increase sensitive receptors to increase TAC exposure.  </w:t>
      </w:r>
      <w:r w:rsidRPr="000760B4">
        <w:t xml:space="preserve">Implementation of the General Plan, including the policies and actions that are intended to mitigate TACs impacts, would ensure that this impact is reduced to a </w:t>
      </w:r>
      <w:r w:rsidRPr="000760B4">
        <w:rPr>
          <w:b/>
          <w:i/>
        </w:rPr>
        <w:t>less than significant</w:t>
      </w:r>
      <w:r w:rsidRPr="000760B4">
        <w:t xml:space="preserve"> level.</w:t>
      </w:r>
    </w:p>
    <w:p w:rsidR="005A21CA" w:rsidRPr="00DA43CB" w:rsidRDefault="005A21CA" w:rsidP="005A21CA">
      <w:pPr>
        <w:pStyle w:val="Heading5"/>
        <w:spacing w:after="120"/>
        <w:rPr>
          <w:b/>
          <w:sz w:val="24"/>
        </w:rPr>
      </w:pPr>
      <w:r w:rsidRPr="00DA43CB">
        <w:rPr>
          <w:b/>
          <w:sz w:val="24"/>
        </w:rPr>
        <w:t>2013 General Plan Policies and Actions that Mitigate Potential Impacts</w:t>
      </w:r>
    </w:p>
    <w:p w:rsidR="005A21CA" w:rsidRPr="00A26723" w:rsidRDefault="005A21CA" w:rsidP="005A21CA">
      <w:pPr>
        <w:rPr>
          <w:i/>
          <w:u w:val="single"/>
        </w:rPr>
      </w:pPr>
      <w:r>
        <w:rPr>
          <w:i/>
          <w:u w:val="single"/>
        </w:rPr>
        <w:t>Policies</w:t>
      </w:r>
    </w:p>
    <w:p w:rsidR="005A21CA" w:rsidRPr="004337EC" w:rsidRDefault="005A21CA" w:rsidP="005A21CA">
      <w:pPr>
        <w:pStyle w:val="Policy"/>
        <w:tabs>
          <w:tab w:val="clear" w:pos="720"/>
        </w:tabs>
        <w:ind w:left="0"/>
        <w:rPr>
          <w:b/>
          <w:i/>
        </w:rPr>
      </w:pPr>
      <w:r w:rsidRPr="004337EC">
        <w:rPr>
          <w:rFonts w:eastAsia="Calibri"/>
          <w:b/>
          <w:i/>
        </w:rPr>
        <w:t>Policy CON 2.1:</w:t>
      </w:r>
      <w:r w:rsidRPr="004337EC">
        <w:rPr>
          <w:b/>
          <w:i/>
        </w:rPr>
        <w:t xml:space="preserve"> </w:t>
      </w:r>
      <w:r w:rsidRPr="004337EC">
        <w:rPr>
          <w:i/>
        </w:rPr>
        <w:t>Improve air quality through continuing to require a compact development pattern that focuses growth in and around existing urbanized areas, locating new housing near places of employment, encouraging alternative modes of transportation, and requiring projects to mitigate significant air quality impacts.</w:t>
      </w:r>
      <w:r w:rsidRPr="004337EC">
        <w:rPr>
          <w:b/>
          <w:i/>
        </w:rPr>
        <w:t xml:space="preserve"> </w:t>
      </w:r>
    </w:p>
    <w:p w:rsidR="005A21CA" w:rsidRPr="004337EC" w:rsidRDefault="005A21CA" w:rsidP="005A21CA">
      <w:pPr>
        <w:pStyle w:val="Policy"/>
        <w:ind w:left="0"/>
        <w:rPr>
          <w:rFonts w:eastAsia="Calibri"/>
          <w:bCs w:val="0"/>
          <w:i/>
          <w:szCs w:val="22"/>
        </w:rPr>
      </w:pPr>
      <w:r w:rsidRPr="004337EC">
        <w:rPr>
          <w:rFonts w:eastAsia="Calibri"/>
          <w:b/>
          <w:bCs w:val="0"/>
          <w:i/>
          <w:szCs w:val="22"/>
        </w:rPr>
        <w:t xml:space="preserve">Policy CON 2.2: </w:t>
      </w:r>
      <w:r w:rsidRPr="004337EC">
        <w:rPr>
          <w:rFonts w:eastAsia="Calibri"/>
          <w:bCs w:val="0"/>
          <w:i/>
          <w:szCs w:val="22"/>
        </w:rPr>
        <w:t xml:space="preserve">Minimize exposure of sensitive receptors to concentrations of air pollutant emissions and toxic air contaminants. </w:t>
      </w:r>
    </w:p>
    <w:p w:rsidR="005A21CA" w:rsidRPr="004337EC" w:rsidRDefault="005A21CA" w:rsidP="005A21CA">
      <w:pPr>
        <w:pStyle w:val="Policy"/>
        <w:ind w:left="0"/>
        <w:rPr>
          <w:i/>
        </w:rPr>
      </w:pPr>
      <w:r w:rsidRPr="004337EC">
        <w:rPr>
          <w:rFonts w:eastAsia="Calibri"/>
          <w:b/>
          <w:bCs w:val="0"/>
          <w:i/>
          <w:szCs w:val="22"/>
        </w:rPr>
        <w:t>Policy CON 2.3:</w:t>
      </w:r>
      <w:r w:rsidRPr="004337EC">
        <w:rPr>
          <w:i/>
        </w:rPr>
        <w:t xml:space="preserve"> Require discretionary projects involving sensitive receptors such as children, the elderly, or people with respiratory diseases proposed within 500 feet of the Highway 101 corridor to include an analysis of mobile source toxic air contaminant health risks. The analysis, if necessary, shall identify feasible mitigation measures to reduce health risks to acceptable levels.</w:t>
      </w:r>
    </w:p>
    <w:p w:rsidR="005A21CA" w:rsidRDefault="005A21CA" w:rsidP="005A21CA">
      <w:pPr>
        <w:pStyle w:val="Policy"/>
        <w:ind w:left="0"/>
        <w:rPr>
          <w:rFonts w:eastAsia="Calibri"/>
          <w:bCs w:val="0"/>
          <w:i/>
          <w:szCs w:val="22"/>
        </w:rPr>
      </w:pPr>
      <w:r w:rsidRPr="00D372D8">
        <w:rPr>
          <w:rFonts w:eastAsia="Calibri"/>
          <w:b/>
          <w:bCs w:val="0"/>
          <w:i/>
          <w:szCs w:val="22"/>
        </w:rPr>
        <w:t xml:space="preserve">Policy CON 2.5: </w:t>
      </w:r>
      <w:r w:rsidRPr="00D372D8">
        <w:rPr>
          <w:rFonts w:eastAsia="Calibri"/>
          <w:bCs w:val="0"/>
          <w:i/>
          <w:szCs w:val="22"/>
        </w:rPr>
        <w:t xml:space="preserve">Continue to require all construction projects and ground disturbing activities to implement BAAQMD dust control and abatement measures. </w:t>
      </w:r>
    </w:p>
    <w:p w:rsidR="005A21CA" w:rsidRPr="00DA43CB" w:rsidRDefault="005A21CA" w:rsidP="005A21CA">
      <w:pPr>
        <w:rPr>
          <w:i/>
          <w:u w:val="single"/>
        </w:rPr>
      </w:pPr>
      <w:r w:rsidRPr="00DA43CB">
        <w:rPr>
          <w:i/>
          <w:u w:val="single"/>
        </w:rPr>
        <w:t>Actions</w:t>
      </w:r>
    </w:p>
    <w:p w:rsidR="005A21CA" w:rsidRPr="00D372D8" w:rsidRDefault="005A21CA" w:rsidP="005A21CA">
      <w:pPr>
        <w:pStyle w:val="Action"/>
        <w:ind w:left="0"/>
      </w:pPr>
      <w:r w:rsidRPr="00D372D8">
        <w:rPr>
          <w:u w:val="single"/>
        </w:rPr>
        <w:t>Action CON 2a</w:t>
      </w:r>
      <w:r w:rsidRPr="00D372D8">
        <w:t xml:space="preserve">: Review all new industrial and commercial development projects for potential air quality impacts to residences and other sensitive receptors. Staff shall ensure that mitigation measures and best management practices are implemented to reduce significant emissions of criteria pollutants. </w:t>
      </w:r>
    </w:p>
    <w:p w:rsidR="005A21CA" w:rsidRPr="00D372D8" w:rsidRDefault="005A21CA" w:rsidP="005A21CA">
      <w:pPr>
        <w:pStyle w:val="Action"/>
        <w:ind w:left="0"/>
      </w:pPr>
      <w:r w:rsidRPr="00D372D8">
        <w:rPr>
          <w:u w:val="single"/>
        </w:rPr>
        <w:t>Action CON 2b:</w:t>
      </w:r>
      <w:r w:rsidRPr="00D372D8">
        <w:t xml:space="preserve"> Refer development, infrastructure, and planning projects to the Bay Area Air Quality Management District (BAAQMD) for review. Require project applicants to prepare air quality analyses to address BAAQMD and General Plan requirements, which include analysis and identification of:</w:t>
      </w:r>
    </w:p>
    <w:p w:rsidR="005A21CA" w:rsidRPr="00D372D8" w:rsidRDefault="005A21CA" w:rsidP="005A21CA">
      <w:pPr>
        <w:pStyle w:val="Action"/>
        <w:numPr>
          <w:ilvl w:val="0"/>
          <w:numId w:val="28"/>
        </w:numPr>
        <w:ind w:left="720"/>
      </w:pPr>
      <w:r w:rsidRPr="00D372D8">
        <w:lastRenderedPageBreak/>
        <w:t>Air pollutant emissions associated with the project during construction, project operation, and cumulative conditions.</w:t>
      </w:r>
    </w:p>
    <w:p w:rsidR="005A21CA" w:rsidRPr="00D372D8" w:rsidRDefault="005A21CA" w:rsidP="005A21CA">
      <w:pPr>
        <w:pStyle w:val="Action"/>
        <w:numPr>
          <w:ilvl w:val="0"/>
          <w:numId w:val="28"/>
        </w:numPr>
        <w:ind w:left="634"/>
      </w:pPr>
      <w:r w:rsidRPr="00D372D8">
        <w:t>Potential exposure of sensitive receptors to toxic air contaminants.</w:t>
      </w:r>
    </w:p>
    <w:p w:rsidR="005A21CA" w:rsidRPr="00D372D8" w:rsidRDefault="005A21CA" w:rsidP="005A21CA">
      <w:pPr>
        <w:pStyle w:val="Action"/>
        <w:numPr>
          <w:ilvl w:val="0"/>
          <w:numId w:val="28"/>
        </w:numPr>
        <w:ind w:left="634"/>
      </w:pPr>
      <w:r w:rsidRPr="00D372D8">
        <w:t>Significant air quality impacts associated with the project for construction, project operation, and cumulative conditions.</w:t>
      </w:r>
    </w:p>
    <w:p w:rsidR="005A21CA" w:rsidRPr="00D372D8" w:rsidRDefault="005A21CA" w:rsidP="005A21CA">
      <w:pPr>
        <w:pStyle w:val="Action"/>
        <w:numPr>
          <w:ilvl w:val="0"/>
          <w:numId w:val="28"/>
        </w:numPr>
        <w:ind w:left="634"/>
      </w:pPr>
      <w:r w:rsidRPr="00D372D8">
        <w:t>Mitigation measures to reduce significant impacts to less than significant or the maximum extent feasible where impacts cannot be mitigated to less than significant.</w:t>
      </w:r>
    </w:p>
    <w:p w:rsidR="005A21CA" w:rsidRPr="00D372D8" w:rsidRDefault="005A21CA" w:rsidP="005A21CA">
      <w:pPr>
        <w:pStyle w:val="Policy"/>
        <w:ind w:left="0"/>
        <w:rPr>
          <w:i/>
        </w:rPr>
      </w:pPr>
      <w:r w:rsidRPr="00D372D8">
        <w:rPr>
          <w:i/>
          <w:u w:val="single"/>
        </w:rPr>
        <w:t>Action CON 2c</w:t>
      </w:r>
      <w:r w:rsidRPr="00D372D8">
        <w:rPr>
          <w:i/>
        </w:rPr>
        <w:t>: Adequate buffers between new industrial uses and sensitive receptors shall be required to avoid potential air quality and nuisance impacts.</w:t>
      </w:r>
    </w:p>
    <w:p w:rsidR="005A21CA" w:rsidRPr="00D372D8" w:rsidRDefault="005A21CA" w:rsidP="005A21CA">
      <w:pPr>
        <w:pStyle w:val="Policy"/>
        <w:ind w:left="0"/>
        <w:rPr>
          <w:i/>
        </w:rPr>
      </w:pPr>
      <w:r w:rsidRPr="00D372D8">
        <w:rPr>
          <w:i/>
          <w:u w:val="single"/>
        </w:rPr>
        <w:t>Action CON 2d</w:t>
      </w:r>
      <w:r w:rsidRPr="00D372D8">
        <w:rPr>
          <w:i/>
        </w:rPr>
        <w:t xml:space="preserve">: Provide a Conservation Page (or Environmental Page) on the City’s website provides links to resource agencies (ARB, BAAWMD, EPA, etc.) and provides information, regarding local and regional conservation and environmental programs, to the extent the City has readily available information, including methods for pollution prevention, including reduced air pollutant and greenhouse gas emissions through use of alternative forms of transportation (bicycling, pedestrian, transit), through reducing wood-burning activities using EPA-certified wood-burning devices, etc. </w:t>
      </w:r>
    </w:p>
    <w:p w:rsidR="005A21CA" w:rsidRPr="000C108F" w:rsidRDefault="005A21CA" w:rsidP="005A21CA">
      <w:pPr>
        <w:pStyle w:val="Heading4"/>
      </w:pPr>
      <w:r w:rsidRPr="000C108F">
        <w:t xml:space="preserve">Impact </w:t>
      </w:r>
      <w:r>
        <w:t>3.2</w:t>
      </w:r>
      <w:r w:rsidRPr="000C108F">
        <w:t>-</w:t>
      </w:r>
      <w:r>
        <w:t>3</w:t>
      </w:r>
      <w:r w:rsidRPr="000C108F">
        <w:t xml:space="preserve">: </w:t>
      </w:r>
      <w:r w:rsidRPr="000B5BA8">
        <w:t>The General Plan would not</w:t>
      </w:r>
      <w:r w:rsidRPr="000C108F">
        <w:t xml:space="preserve"> </w:t>
      </w:r>
      <w:r>
        <w:t xml:space="preserve">create objectionable odors </w:t>
      </w:r>
      <w:r w:rsidRPr="000C108F">
        <w:t>(</w:t>
      </w:r>
      <w:r>
        <w:t>L</w:t>
      </w:r>
      <w:r w:rsidRPr="000C108F">
        <w:t xml:space="preserve">ess than </w:t>
      </w:r>
      <w:r>
        <w:t>S</w:t>
      </w:r>
      <w:r w:rsidRPr="000C108F">
        <w:t>ignificant)</w:t>
      </w:r>
    </w:p>
    <w:p w:rsidR="005A21CA" w:rsidRPr="000C108F" w:rsidRDefault="005A21CA" w:rsidP="005A21CA">
      <w:r w:rsidRPr="000C108F">
        <w:t xml:space="preserve">Objectionable odors can be generated from certain types of commercial and/or industrial land uses. In general, residential land uses are not associated with odor generation, but they do serve as sensitive receptors. </w:t>
      </w:r>
    </w:p>
    <w:p w:rsidR="005A21CA" w:rsidRPr="00A7060A" w:rsidRDefault="005A21CA" w:rsidP="005A21CA">
      <w:r w:rsidRPr="00A7060A">
        <w:t xml:space="preserve">The BAAQMD CEQA Guidelines recommendation for assessing plan level odor impacts is to “identify the location of existing and planned odor sources in the plan area and policies to reduce potential odor impacts in the plan area.” There are not any existing or planned sources of odors within the City of Cotati. </w:t>
      </w:r>
      <w:r w:rsidRPr="000760B4">
        <w:t>Implementation of</w:t>
      </w:r>
      <w:r>
        <w:t xml:space="preserve"> the General Plan</w:t>
      </w:r>
      <w:r w:rsidRPr="000760B4">
        <w:t xml:space="preserve"> </w:t>
      </w:r>
      <w:r>
        <w:t xml:space="preserve">would have a </w:t>
      </w:r>
      <w:r w:rsidRPr="000760B4">
        <w:rPr>
          <w:b/>
          <w:i/>
        </w:rPr>
        <w:t>less than significant</w:t>
      </w:r>
      <w:r w:rsidRPr="000760B4">
        <w:t xml:space="preserve"> </w:t>
      </w:r>
      <w:r>
        <w:t>impact relative to this topic</w:t>
      </w:r>
      <w:r w:rsidRPr="000760B4">
        <w:t>.</w:t>
      </w:r>
    </w:p>
    <w:p w:rsidR="005A21CA" w:rsidRPr="000B5BA8" w:rsidRDefault="005A21CA" w:rsidP="005A21CA">
      <w:pPr>
        <w:pStyle w:val="Heading4"/>
      </w:pPr>
      <w:r w:rsidRPr="000B5BA8">
        <w:t xml:space="preserve">Impact </w:t>
      </w:r>
      <w:r>
        <w:t>3.2</w:t>
      </w:r>
      <w:r w:rsidRPr="000B5BA8">
        <w:t>-4: The General Plan would not conflict with Regional Plans (Less than Significant)</w:t>
      </w:r>
    </w:p>
    <w:p w:rsidR="000F64C7" w:rsidRDefault="005A21CA" w:rsidP="005A21CA">
      <w:r w:rsidRPr="000B5BA8">
        <w:t xml:space="preserve">The </w:t>
      </w:r>
      <w:r w:rsidRPr="000B5BA8">
        <w:rPr>
          <w:i/>
        </w:rPr>
        <w:t>Transportation 2035 Plan</w:t>
      </w:r>
      <w:r w:rsidRPr="000B5BA8">
        <w:t xml:space="preserve"> (MTC 2009) is the most recently adopted Regional Transportation Plan prepared by the Metropolitan Transportation Commission (MTC) for the San Francisco Bay Area region. </w:t>
      </w:r>
      <w:r w:rsidR="000F64C7">
        <w:t xml:space="preserve">One of the visions for </w:t>
      </w:r>
      <w:r w:rsidR="000F64C7" w:rsidRPr="000F64C7">
        <w:rPr>
          <w:i/>
        </w:rPr>
        <w:t>Transportation 2035</w:t>
      </w:r>
      <w:r w:rsidR="000F64C7">
        <w:t xml:space="preserve"> is to support a prosperous and globally competitive Bay Area economy, provide for a healthy and safe environment, and promote equitable mobility opportunities for all residents. Among the cornerstones of the plan are a joint regional planning initiative known as FOCUS, which provides incentives for cities and counties to promote future growth near transit in already urbanized portions of the Bay Area. The plan also launches a Transportation Climate Action Campaign to reduce transportation-related greenhouse gas emissions.  The </w:t>
      </w:r>
      <w:r w:rsidR="000F64C7" w:rsidRPr="000F64C7">
        <w:rPr>
          <w:i/>
        </w:rPr>
        <w:t>Transportation 2035 Plan</w:t>
      </w:r>
      <w:r w:rsidR="000F64C7">
        <w:t xml:space="preserve"> is a component of a regional effort between MTC and the BAAQMD to reduce mobile source air emissions throughout the greater Bay Area.  </w:t>
      </w:r>
    </w:p>
    <w:p w:rsidR="005A21CA" w:rsidRDefault="005A21CA" w:rsidP="005A21CA">
      <w:pPr>
        <w:rPr>
          <w:highlight w:val="green"/>
        </w:rPr>
      </w:pPr>
      <w:r w:rsidRPr="000B5BA8">
        <w:lastRenderedPageBreak/>
        <w:t xml:space="preserve">The </w:t>
      </w:r>
      <w:r w:rsidRPr="000B5BA8">
        <w:rPr>
          <w:i/>
        </w:rPr>
        <w:t>Transportation Air Quality Conformity Analysis for the Transportation 2035 Plan</w:t>
      </w:r>
      <w:r w:rsidRPr="000B5BA8">
        <w:t xml:space="preserve"> (MTC 2009) was prepared using population forecasts for each local jurisdiction as inputs into the regional travel demand model.</w:t>
      </w:r>
      <w:r w:rsidRPr="000C108F">
        <w:rPr>
          <w:highlight w:val="green"/>
        </w:rPr>
        <w:t xml:space="preserve"> </w:t>
      </w:r>
    </w:p>
    <w:p w:rsidR="005A21CA" w:rsidRDefault="005A21CA" w:rsidP="005A21CA">
      <w:r w:rsidRPr="00FC641D">
        <w:t xml:space="preserve">Cotati is the smallest incorporated city in </w:t>
      </w:r>
      <w:r>
        <w:t>the c</w:t>
      </w:r>
      <w:r w:rsidRPr="00FC641D">
        <w:t>ounty</w:t>
      </w:r>
      <w:r>
        <w:t xml:space="preserve"> with a current population of </w:t>
      </w:r>
      <w:r w:rsidRPr="00A57EF8">
        <w:t xml:space="preserve">Cotati </w:t>
      </w:r>
      <w:r>
        <w:t>approximately</w:t>
      </w:r>
      <w:r w:rsidRPr="00A57EF8">
        <w:t xml:space="preserve"> 7,</w:t>
      </w:r>
      <w:r>
        <w:t>310</w:t>
      </w:r>
      <w:r w:rsidRPr="009B4C02">
        <w:t>. General Plan buildout is anticipated to result in new growth of approximately 3,506 residents</w:t>
      </w:r>
      <w:r>
        <w:t xml:space="preserve"> within the City limits and up to 5,202 residents within the entire Planning Area</w:t>
      </w:r>
      <w:r w:rsidRPr="009B4C02">
        <w:t xml:space="preserve">. </w:t>
      </w:r>
      <w:r w:rsidR="000F64C7">
        <w:t xml:space="preserve"> The new population growth that would occur under the Cotati General Plan Update would not exceed the growth anticipated by the MTC in the </w:t>
      </w:r>
      <w:r w:rsidR="000F64C7" w:rsidRPr="000F64C7">
        <w:rPr>
          <w:i/>
        </w:rPr>
        <w:t>Transportation 2035 Plan</w:t>
      </w:r>
      <w:r w:rsidR="000F64C7">
        <w:t xml:space="preserve">.  </w:t>
      </w:r>
      <w:r w:rsidRPr="009B4C02">
        <w:t>The General Plan, including its anticipated population growth, does not conflict with the latest adopted and conforming Regional Transportation Plan</w:t>
      </w:r>
      <w:r w:rsidR="000F64C7">
        <w:t>, and adoption of the General Plan would not conflict with the Regional Transportation Plan or impede efforts to reduce air quality emissions at the regional level</w:t>
      </w:r>
      <w:r w:rsidRPr="009B4C02">
        <w:t xml:space="preserve">. This is a </w:t>
      </w:r>
      <w:r w:rsidRPr="009B4C02">
        <w:rPr>
          <w:b/>
          <w:i/>
        </w:rPr>
        <w:t>less than significant</w:t>
      </w:r>
      <w:r w:rsidRPr="009B4C02">
        <w:t xml:space="preserve"> impact.</w:t>
      </w:r>
      <w:r>
        <w:t xml:space="preserve"> </w:t>
      </w:r>
    </w:p>
    <w:p w:rsidR="009358C4" w:rsidRDefault="009358C4" w:rsidP="009358C4">
      <w:pPr>
        <w:spacing w:after="160" w:line="288" w:lineRule="auto"/>
        <w:jc w:val="left"/>
      </w:pPr>
    </w:p>
    <w:p w:rsidR="006F075B" w:rsidRDefault="006F075B" w:rsidP="005A21CA">
      <w:pPr>
        <w:pStyle w:val="Action"/>
        <w:ind w:left="720"/>
        <w:jc w:val="center"/>
      </w:pPr>
    </w:p>
    <w:sectPr w:rsidR="006F075B" w:rsidSect="005A21CA">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944"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900" w:rsidRDefault="00EF3900" w:rsidP="005A21CA">
      <w:pPr>
        <w:spacing w:after="0" w:line="240" w:lineRule="auto"/>
      </w:pPr>
      <w:r>
        <w:separator/>
      </w:r>
    </w:p>
  </w:endnote>
  <w:endnote w:type="continuationSeparator" w:id="0">
    <w:p w:rsidR="00EF3900" w:rsidRDefault="00EF3900" w:rsidP="005A2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1401"/>
      <w:gridCol w:w="7671"/>
    </w:tblGrid>
    <w:tr w:rsidR="005A21CA">
      <w:trPr>
        <w:trHeight w:val="360"/>
      </w:trPr>
      <w:tc>
        <w:tcPr>
          <w:tcW w:w="772" w:type="pct"/>
          <w:shd w:val="clear" w:color="auto" w:fill="D9D9D9"/>
          <w:vAlign w:val="center"/>
        </w:tcPr>
        <w:p w:rsidR="005A21CA" w:rsidRPr="00DB6AD3" w:rsidRDefault="005A21CA" w:rsidP="005A21CA">
          <w:pPr>
            <w:pStyle w:val="Footer"/>
            <w:jc w:val="center"/>
          </w:pPr>
          <w:r w:rsidRPr="00DB6AD3">
            <w:rPr>
              <w:rFonts w:ascii="Cambria" w:hAnsi="Cambria"/>
            </w:rPr>
            <w:t>3.2-</w:t>
          </w:r>
          <w:r w:rsidR="00B800C5">
            <w:fldChar w:fldCharType="begin"/>
          </w:r>
          <w:r w:rsidR="00B800C5">
            <w:instrText xml:space="preserve"> PAGE   \* MERGEFORMAT </w:instrText>
          </w:r>
          <w:r w:rsidR="00B800C5">
            <w:fldChar w:fldCharType="separate"/>
          </w:r>
          <w:r w:rsidR="00B800C5" w:rsidRPr="00B800C5">
            <w:rPr>
              <w:rFonts w:ascii="Cambria" w:hAnsi="Cambria"/>
              <w:noProof/>
            </w:rPr>
            <w:t>30</w:t>
          </w:r>
          <w:r w:rsidR="00B800C5">
            <w:rPr>
              <w:rFonts w:ascii="Cambria" w:hAnsi="Cambria"/>
              <w:noProof/>
            </w:rPr>
            <w:fldChar w:fldCharType="end"/>
          </w:r>
        </w:p>
      </w:tc>
      <w:tc>
        <w:tcPr>
          <w:tcW w:w="4228" w:type="pct"/>
          <w:vAlign w:val="center"/>
        </w:tcPr>
        <w:p w:rsidR="005A21CA" w:rsidRPr="00DB6AD3" w:rsidRDefault="005A21CA" w:rsidP="005A21CA">
          <w:pPr>
            <w:pStyle w:val="Footer"/>
            <w:jc w:val="left"/>
          </w:pPr>
          <w:r w:rsidRPr="00DB6AD3">
            <w:rPr>
              <w:rFonts w:ascii="Cambria" w:hAnsi="Cambria"/>
            </w:rPr>
            <w:t>Draft Environmental Impact Report – 2013 Cotati General Plan</w:t>
          </w:r>
        </w:p>
      </w:tc>
    </w:tr>
  </w:tbl>
  <w:p w:rsidR="005A21CA" w:rsidRDefault="005A21CA" w:rsidP="005A21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7671"/>
      <w:gridCol w:w="1401"/>
    </w:tblGrid>
    <w:tr w:rsidR="005A21CA">
      <w:trPr>
        <w:trHeight w:val="360"/>
      </w:trPr>
      <w:tc>
        <w:tcPr>
          <w:tcW w:w="4228" w:type="pct"/>
          <w:vAlign w:val="center"/>
        </w:tcPr>
        <w:p w:rsidR="005A21CA" w:rsidRPr="00DB6AD3" w:rsidRDefault="005A21CA" w:rsidP="005A21CA">
          <w:pPr>
            <w:pStyle w:val="Footer"/>
            <w:jc w:val="right"/>
          </w:pPr>
          <w:r w:rsidRPr="00DB6AD3">
            <w:rPr>
              <w:rFonts w:ascii="Cambria" w:hAnsi="Cambria"/>
            </w:rPr>
            <w:t>Draft Environmental Impact Report – 2013 Cotati General Plan</w:t>
          </w:r>
        </w:p>
      </w:tc>
      <w:tc>
        <w:tcPr>
          <w:tcW w:w="772" w:type="pct"/>
          <w:shd w:val="clear" w:color="auto" w:fill="D9D9D9"/>
          <w:vAlign w:val="center"/>
        </w:tcPr>
        <w:p w:rsidR="005A21CA" w:rsidRPr="00DB6AD3" w:rsidRDefault="005A21CA" w:rsidP="005A21CA">
          <w:pPr>
            <w:pStyle w:val="Footer"/>
            <w:jc w:val="center"/>
            <w:rPr>
              <w:rFonts w:ascii="Cambria" w:hAnsi="Cambria"/>
            </w:rPr>
          </w:pPr>
          <w:r w:rsidRPr="00DB6AD3">
            <w:rPr>
              <w:rFonts w:ascii="Cambria" w:hAnsi="Cambria"/>
            </w:rPr>
            <w:t>3.2-</w:t>
          </w:r>
          <w:r w:rsidR="00B800C5">
            <w:fldChar w:fldCharType="begin"/>
          </w:r>
          <w:r w:rsidR="00B800C5">
            <w:instrText xml:space="preserve"> PAGE    \* MERGEFORMAT </w:instrText>
          </w:r>
          <w:r w:rsidR="00B800C5">
            <w:fldChar w:fldCharType="separate"/>
          </w:r>
          <w:r w:rsidR="00B800C5" w:rsidRPr="00B800C5">
            <w:rPr>
              <w:rFonts w:ascii="Cambria" w:hAnsi="Cambria"/>
              <w:noProof/>
            </w:rPr>
            <w:t>29</w:t>
          </w:r>
          <w:r w:rsidR="00B800C5">
            <w:rPr>
              <w:rFonts w:ascii="Cambria" w:hAnsi="Cambria"/>
              <w:noProof/>
            </w:rPr>
            <w:fldChar w:fldCharType="end"/>
          </w:r>
        </w:p>
      </w:tc>
    </w:tr>
  </w:tbl>
  <w:p w:rsidR="005A21CA" w:rsidRDefault="005A21CA" w:rsidP="005A21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7671"/>
      <w:gridCol w:w="1401"/>
    </w:tblGrid>
    <w:tr w:rsidR="005A21CA">
      <w:trPr>
        <w:trHeight w:val="360"/>
      </w:trPr>
      <w:tc>
        <w:tcPr>
          <w:tcW w:w="4228" w:type="pct"/>
          <w:vAlign w:val="center"/>
        </w:tcPr>
        <w:p w:rsidR="005A21CA" w:rsidRPr="00DB6AD3" w:rsidRDefault="005A21CA" w:rsidP="005A21CA">
          <w:pPr>
            <w:pStyle w:val="Footer"/>
            <w:jc w:val="right"/>
          </w:pPr>
          <w:r w:rsidRPr="00DB6AD3">
            <w:rPr>
              <w:rFonts w:ascii="Cambria" w:hAnsi="Cambria"/>
            </w:rPr>
            <w:t>Draft Environmental Impact Report – 2013 Cotati General Plan</w:t>
          </w:r>
        </w:p>
      </w:tc>
      <w:tc>
        <w:tcPr>
          <w:tcW w:w="772" w:type="pct"/>
          <w:shd w:val="clear" w:color="auto" w:fill="D9D9D9"/>
          <w:vAlign w:val="center"/>
        </w:tcPr>
        <w:p w:rsidR="005A21CA" w:rsidRPr="00DB6AD3" w:rsidRDefault="005A21CA" w:rsidP="005A21CA">
          <w:pPr>
            <w:pStyle w:val="Footer"/>
            <w:jc w:val="center"/>
            <w:rPr>
              <w:rFonts w:ascii="Cambria" w:hAnsi="Cambria"/>
            </w:rPr>
          </w:pPr>
          <w:r w:rsidRPr="00DB6AD3">
            <w:rPr>
              <w:rFonts w:ascii="Cambria" w:hAnsi="Cambria"/>
            </w:rPr>
            <w:t>3.2-</w:t>
          </w:r>
          <w:r w:rsidR="00B800C5">
            <w:fldChar w:fldCharType="begin"/>
          </w:r>
          <w:r w:rsidR="00B800C5">
            <w:instrText xml:space="preserve"> PAGE    \* MERGEFORMAT </w:instrText>
          </w:r>
          <w:r w:rsidR="00B800C5">
            <w:fldChar w:fldCharType="separate"/>
          </w:r>
          <w:r w:rsidR="00B800C5" w:rsidRPr="00B800C5">
            <w:rPr>
              <w:rFonts w:ascii="Cambria" w:hAnsi="Cambria"/>
              <w:noProof/>
            </w:rPr>
            <w:t>1</w:t>
          </w:r>
          <w:r w:rsidR="00B800C5">
            <w:rPr>
              <w:rFonts w:ascii="Cambria" w:hAnsi="Cambria"/>
              <w:noProof/>
            </w:rPr>
            <w:fldChar w:fldCharType="end"/>
          </w:r>
        </w:p>
      </w:tc>
    </w:tr>
  </w:tbl>
  <w:p w:rsidR="005A21CA" w:rsidRDefault="005A21CA" w:rsidP="005A21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900" w:rsidRDefault="00EF3900" w:rsidP="005A21CA">
      <w:pPr>
        <w:spacing w:after="0" w:line="240" w:lineRule="auto"/>
      </w:pPr>
      <w:r>
        <w:separator/>
      </w:r>
    </w:p>
  </w:footnote>
  <w:footnote w:type="continuationSeparator" w:id="0">
    <w:p w:rsidR="00EF3900" w:rsidRDefault="00EF3900" w:rsidP="005A21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Look w:val="04A0" w:firstRow="1" w:lastRow="0" w:firstColumn="1" w:lastColumn="0" w:noHBand="0" w:noVBand="1"/>
    </w:tblPr>
    <w:tblGrid>
      <w:gridCol w:w="1361"/>
      <w:gridCol w:w="7711"/>
    </w:tblGrid>
    <w:tr w:rsidR="005A21CA">
      <w:trPr>
        <w:trHeight w:val="475"/>
      </w:trPr>
      <w:tc>
        <w:tcPr>
          <w:tcW w:w="750" w:type="pct"/>
          <w:shd w:val="clear" w:color="auto" w:fill="D9D9D9"/>
          <w:vAlign w:val="center"/>
        </w:tcPr>
        <w:p w:rsidR="005A21CA" w:rsidRPr="00DB6AD3" w:rsidRDefault="005A21CA" w:rsidP="005A21CA">
          <w:pPr>
            <w:pStyle w:val="Header"/>
            <w:jc w:val="center"/>
          </w:pPr>
          <w:r w:rsidRPr="00DB6AD3">
            <w:rPr>
              <w:sz w:val="32"/>
            </w:rPr>
            <w:t>3.2</w:t>
          </w:r>
        </w:p>
      </w:tc>
      <w:tc>
        <w:tcPr>
          <w:tcW w:w="4250" w:type="pct"/>
          <w:shd w:val="clear" w:color="auto" w:fill="FFFFFF"/>
          <w:vAlign w:val="center"/>
        </w:tcPr>
        <w:p w:rsidR="005A21CA" w:rsidRPr="00DB6AD3" w:rsidRDefault="005A21CA" w:rsidP="005A21CA">
          <w:pPr>
            <w:pStyle w:val="Header-EvenPage"/>
          </w:pPr>
          <w:r w:rsidRPr="00DB6AD3">
            <w:t xml:space="preserve">Air Quality </w:t>
          </w:r>
        </w:p>
      </w:tc>
    </w:tr>
  </w:tbl>
  <w:p w:rsidR="005A21CA" w:rsidRDefault="005A21CA" w:rsidP="005A21CA">
    <w:pPr>
      <w:pStyle w:val="MediumShading1-Accent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auto"/>
      </w:tblBorders>
      <w:tblLook w:val="04A0" w:firstRow="1" w:lastRow="0" w:firstColumn="1" w:lastColumn="0" w:noHBand="0" w:noVBand="1"/>
    </w:tblPr>
    <w:tblGrid>
      <w:gridCol w:w="7711"/>
      <w:gridCol w:w="1361"/>
    </w:tblGrid>
    <w:tr w:rsidR="005A21CA" w:rsidRPr="004437D4">
      <w:trPr>
        <w:trHeight w:val="475"/>
      </w:trPr>
      <w:tc>
        <w:tcPr>
          <w:tcW w:w="4250" w:type="pct"/>
          <w:shd w:val="clear" w:color="auto" w:fill="FFFFFF"/>
          <w:vAlign w:val="center"/>
        </w:tcPr>
        <w:p w:rsidR="005A21CA" w:rsidRPr="00DB6AD3" w:rsidRDefault="005A21CA" w:rsidP="005A21CA">
          <w:pPr>
            <w:pStyle w:val="Header"/>
            <w:jc w:val="right"/>
            <w:rPr>
              <w:caps/>
              <w:color w:val="FFFFFF"/>
            </w:rPr>
          </w:pPr>
          <w:r w:rsidRPr="00DB6AD3">
            <w:rPr>
              <w:sz w:val="32"/>
              <w:shd w:val="clear" w:color="auto" w:fill="FFFFFF"/>
            </w:rPr>
            <w:t xml:space="preserve">Air Quality </w:t>
          </w:r>
        </w:p>
      </w:tc>
      <w:tc>
        <w:tcPr>
          <w:tcW w:w="750" w:type="pct"/>
          <w:shd w:val="clear" w:color="auto" w:fill="D9D9D9"/>
          <w:vAlign w:val="center"/>
        </w:tcPr>
        <w:p w:rsidR="005A21CA" w:rsidRPr="00DB6AD3" w:rsidRDefault="005A21CA" w:rsidP="005A21CA">
          <w:pPr>
            <w:pStyle w:val="Header"/>
            <w:jc w:val="center"/>
            <w:rPr>
              <w:sz w:val="32"/>
            </w:rPr>
          </w:pPr>
          <w:r w:rsidRPr="00DB6AD3">
            <w:rPr>
              <w:sz w:val="32"/>
            </w:rPr>
            <w:t>3.2</w:t>
          </w:r>
        </w:p>
      </w:tc>
    </w:tr>
  </w:tbl>
  <w:p w:rsidR="005A21CA" w:rsidRDefault="005A21CA" w:rsidP="005A21CA">
    <w:pPr>
      <w:pStyle w:val="Foo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right"/>
      <w:tblBorders>
        <w:bottom w:val="single" w:sz="2" w:space="0" w:color="auto"/>
      </w:tblBorders>
      <w:tblCellMar>
        <w:top w:w="72" w:type="dxa"/>
        <w:left w:w="115" w:type="dxa"/>
        <w:bottom w:w="72" w:type="dxa"/>
        <w:right w:w="115" w:type="dxa"/>
      </w:tblCellMar>
      <w:tblLook w:val="04A0" w:firstRow="1" w:lastRow="0" w:firstColumn="1" w:lastColumn="0" w:noHBand="0" w:noVBand="1"/>
    </w:tblPr>
    <w:tblGrid>
      <w:gridCol w:w="7612"/>
      <w:gridCol w:w="1474"/>
    </w:tblGrid>
    <w:tr w:rsidR="005A21CA" w:rsidRPr="00A65AF8">
      <w:trPr>
        <w:jc w:val="right"/>
      </w:trPr>
      <w:tc>
        <w:tcPr>
          <w:tcW w:w="4189" w:type="pct"/>
          <w:vAlign w:val="center"/>
        </w:tcPr>
        <w:p w:rsidR="005A21CA" w:rsidRPr="00DB6AD3" w:rsidRDefault="005A21CA" w:rsidP="005A21CA">
          <w:pPr>
            <w:pStyle w:val="Header"/>
            <w:jc w:val="right"/>
          </w:pPr>
          <w:r w:rsidRPr="00DB6AD3">
            <w:t xml:space="preserve">Air Quality </w:t>
          </w:r>
        </w:p>
      </w:tc>
      <w:tc>
        <w:tcPr>
          <w:tcW w:w="811" w:type="pct"/>
          <w:shd w:val="clear" w:color="auto" w:fill="D9D9D9"/>
          <w:vAlign w:val="center"/>
        </w:tcPr>
        <w:p w:rsidR="005A21CA" w:rsidRPr="00DB6AD3" w:rsidRDefault="005A21CA" w:rsidP="005A21CA">
          <w:pPr>
            <w:pStyle w:val="Header"/>
            <w:jc w:val="center"/>
          </w:pPr>
          <w:r w:rsidRPr="00DB6AD3">
            <w:t>3.2</w:t>
          </w:r>
        </w:p>
      </w:tc>
    </w:tr>
  </w:tbl>
  <w:p w:rsidR="005A21CA" w:rsidRDefault="005A21CA" w:rsidP="005A21CA">
    <w:pPr>
      <w:pStyle w:val="MediumShading1-Accent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7517"/>
    <w:multiLevelType w:val="hybridMultilevel"/>
    <w:tmpl w:val="4B044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55525"/>
    <w:multiLevelType w:val="hybridMultilevel"/>
    <w:tmpl w:val="761A41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83399"/>
    <w:multiLevelType w:val="hybridMultilevel"/>
    <w:tmpl w:val="4218EAA8"/>
    <w:lvl w:ilvl="0" w:tplc="6C7E8E50">
      <w:start w:val="1"/>
      <w:numFmt w:val="bullet"/>
      <w:pStyle w:val="ListBullet2"/>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9D61ED"/>
    <w:multiLevelType w:val="hybridMultilevel"/>
    <w:tmpl w:val="24761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712E66"/>
    <w:multiLevelType w:val="hybridMultilevel"/>
    <w:tmpl w:val="792289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0F42362"/>
    <w:multiLevelType w:val="hybridMultilevel"/>
    <w:tmpl w:val="557AC338"/>
    <w:lvl w:ilvl="0" w:tplc="EA0A4660">
      <w:start w:val="1"/>
      <w:numFmt w:val="lowerLetter"/>
      <w:lvlText w:val="%1."/>
      <w:lvlJc w:val="left"/>
      <w:pPr>
        <w:ind w:left="18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4B0C3F"/>
    <w:multiLevelType w:val="hybridMultilevel"/>
    <w:tmpl w:val="EF74BC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AE34B6"/>
    <w:multiLevelType w:val="hybridMultilevel"/>
    <w:tmpl w:val="E6DAB5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0D69FB"/>
    <w:multiLevelType w:val="hybridMultilevel"/>
    <w:tmpl w:val="0DCCD0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AD5144"/>
    <w:multiLevelType w:val="hybridMultilevel"/>
    <w:tmpl w:val="792289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9EB3654"/>
    <w:multiLevelType w:val="hybridMultilevel"/>
    <w:tmpl w:val="E97E2B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943C6A"/>
    <w:multiLevelType w:val="hybridMultilevel"/>
    <w:tmpl w:val="BC28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40790A"/>
    <w:multiLevelType w:val="hybridMultilevel"/>
    <w:tmpl w:val="B6F8F5F0"/>
    <w:lvl w:ilvl="0" w:tplc="0409000F">
      <w:start w:val="1"/>
      <w:numFmt w:val="decimal"/>
      <w:lvlText w:val="%1."/>
      <w:lvlJc w:val="left"/>
      <w:pPr>
        <w:ind w:left="720" w:hanging="360"/>
      </w:pPr>
      <w:rPr>
        <w:rFonts w:hint="default"/>
      </w:rPr>
    </w:lvl>
    <w:lvl w:ilvl="1" w:tplc="7A5EFA0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C66BCE"/>
    <w:multiLevelType w:val="hybridMultilevel"/>
    <w:tmpl w:val="1C2E5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D85A27"/>
    <w:multiLevelType w:val="hybridMultilevel"/>
    <w:tmpl w:val="ABD20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6E444A"/>
    <w:multiLevelType w:val="hybridMultilevel"/>
    <w:tmpl w:val="F768E7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A24110"/>
    <w:multiLevelType w:val="hybridMultilevel"/>
    <w:tmpl w:val="8BA8164E"/>
    <w:lvl w:ilvl="0" w:tplc="04090019">
      <w:start w:val="1"/>
      <w:numFmt w:val="lowerLetter"/>
      <w:lvlText w:val="%1."/>
      <w:lvlJc w:val="left"/>
      <w:pPr>
        <w:ind w:left="1886" w:hanging="360"/>
      </w:p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17">
    <w:nsid w:val="54976BDB"/>
    <w:multiLevelType w:val="hybridMultilevel"/>
    <w:tmpl w:val="792289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7A75DA9"/>
    <w:multiLevelType w:val="hybridMultilevel"/>
    <w:tmpl w:val="AE0EBE98"/>
    <w:lvl w:ilvl="0" w:tplc="9D44C7C0">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5A11EB"/>
    <w:multiLevelType w:val="hybridMultilevel"/>
    <w:tmpl w:val="8BA8164E"/>
    <w:lvl w:ilvl="0" w:tplc="04090019">
      <w:start w:val="1"/>
      <w:numFmt w:val="lowerLetter"/>
      <w:lvlText w:val="%1."/>
      <w:lvlJc w:val="left"/>
      <w:pPr>
        <w:ind w:left="1886" w:hanging="360"/>
      </w:pPr>
    </w:lvl>
    <w:lvl w:ilvl="1" w:tplc="04090019" w:tentative="1">
      <w:start w:val="1"/>
      <w:numFmt w:val="lowerLetter"/>
      <w:lvlText w:val="%2."/>
      <w:lvlJc w:val="left"/>
      <w:pPr>
        <w:ind w:left="2606" w:hanging="360"/>
      </w:pPr>
    </w:lvl>
    <w:lvl w:ilvl="2" w:tplc="0409001B" w:tentative="1">
      <w:start w:val="1"/>
      <w:numFmt w:val="lowerRoman"/>
      <w:lvlText w:val="%3."/>
      <w:lvlJc w:val="right"/>
      <w:pPr>
        <w:ind w:left="3326" w:hanging="180"/>
      </w:pPr>
    </w:lvl>
    <w:lvl w:ilvl="3" w:tplc="0409000F" w:tentative="1">
      <w:start w:val="1"/>
      <w:numFmt w:val="decimal"/>
      <w:lvlText w:val="%4."/>
      <w:lvlJc w:val="left"/>
      <w:pPr>
        <w:ind w:left="4046" w:hanging="360"/>
      </w:pPr>
    </w:lvl>
    <w:lvl w:ilvl="4" w:tplc="04090019" w:tentative="1">
      <w:start w:val="1"/>
      <w:numFmt w:val="lowerLetter"/>
      <w:lvlText w:val="%5."/>
      <w:lvlJc w:val="left"/>
      <w:pPr>
        <w:ind w:left="4766" w:hanging="360"/>
      </w:pPr>
    </w:lvl>
    <w:lvl w:ilvl="5" w:tplc="0409001B" w:tentative="1">
      <w:start w:val="1"/>
      <w:numFmt w:val="lowerRoman"/>
      <w:lvlText w:val="%6."/>
      <w:lvlJc w:val="right"/>
      <w:pPr>
        <w:ind w:left="5486" w:hanging="180"/>
      </w:pPr>
    </w:lvl>
    <w:lvl w:ilvl="6" w:tplc="0409000F" w:tentative="1">
      <w:start w:val="1"/>
      <w:numFmt w:val="decimal"/>
      <w:lvlText w:val="%7."/>
      <w:lvlJc w:val="left"/>
      <w:pPr>
        <w:ind w:left="6206" w:hanging="360"/>
      </w:pPr>
    </w:lvl>
    <w:lvl w:ilvl="7" w:tplc="04090019" w:tentative="1">
      <w:start w:val="1"/>
      <w:numFmt w:val="lowerLetter"/>
      <w:lvlText w:val="%8."/>
      <w:lvlJc w:val="left"/>
      <w:pPr>
        <w:ind w:left="6926" w:hanging="360"/>
      </w:pPr>
    </w:lvl>
    <w:lvl w:ilvl="8" w:tplc="0409001B" w:tentative="1">
      <w:start w:val="1"/>
      <w:numFmt w:val="lowerRoman"/>
      <w:lvlText w:val="%9."/>
      <w:lvlJc w:val="right"/>
      <w:pPr>
        <w:ind w:left="7646" w:hanging="180"/>
      </w:pPr>
    </w:lvl>
  </w:abstractNum>
  <w:abstractNum w:abstractNumId="20">
    <w:nsid w:val="5E692264"/>
    <w:multiLevelType w:val="hybridMultilevel"/>
    <w:tmpl w:val="3B0E07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632537"/>
    <w:multiLevelType w:val="hybridMultilevel"/>
    <w:tmpl w:val="D45080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2638F1"/>
    <w:multiLevelType w:val="hybridMultilevel"/>
    <w:tmpl w:val="6ABABD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891578"/>
    <w:multiLevelType w:val="hybridMultilevel"/>
    <w:tmpl w:val="87E27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C363FE"/>
    <w:multiLevelType w:val="hybridMultilevel"/>
    <w:tmpl w:val="A2EE1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CD1903"/>
    <w:multiLevelType w:val="hybridMultilevel"/>
    <w:tmpl w:val="6C56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F47442"/>
    <w:multiLevelType w:val="hybridMultilevel"/>
    <w:tmpl w:val="3E28D264"/>
    <w:lvl w:ilvl="0" w:tplc="F398D86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Wingdings"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Wingdings"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Wingdings" w:hint="default"/>
      </w:rPr>
    </w:lvl>
    <w:lvl w:ilvl="8" w:tplc="04090005" w:tentative="1">
      <w:start w:val="1"/>
      <w:numFmt w:val="bullet"/>
      <w:lvlText w:val=""/>
      <w:lvlJc w:val="left"/>
      <w:pPr>
        <w:ind w:left="6930" w:hanging="360"/>
      </w:pPr>
      <w:rPr>
        <w:rFonts w:ascii="Wingdings" w:hAnsi="Wingdings" w:hint="default"/>
      </w:rPr>
    </w:lvl>
  </w:abstractNum>
  <w:abstractNum w:abstractNumId="27">
    <w:nsid w:val="793E0263"/>
    <w:multiLevelType w:val="hybridMultilevel"/>
    <w:tmpl w:val="A072AC54"/>
    <w:lvl w:ilvl="0" w:tplc="296091BA">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875B71"/>
    <w:multiLevelType w:val="hybridMultilevel"/>
    <w:tmpl w:val="9F0C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0B2A4F"/>
    <w:multiLevelType w:val="multilevel"/>
    <w:tmpl w:val="300CBE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C813CE2"/>
    <w:multiLevelType w:val="hybridMultilevel"/>
    <w:tmpl w:val="BE648056"/>
    <w:lvl w:ilvl="0" w:tplc="561E3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932E18"/>
    <w:multiLevelType w:val="hybridMultilevel"/>
    <w:tmpl w:val="300CB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8"/>
  </w:num>
  <w:num w:numId="3">
    <w:abstractNumId w:val="2"/>
  </w:num>
  <w:num w:numId="4">
    <w:abstractNumId w:val="4"/>
  </w:num>
  <w:num w:numId="5">
    <w:abstractNumId w:val="16"/>
  </w:num>
  <w:num w:numId="6">
    <w:abstractNumId w:val="23"/>
  </w:num>
  <w:num w:numId="7">
    <w:abstractNumId w:val="31"/>
  </w:num>
  <w:num w:numId="8">
    <w:abstractNumId w:val="29"/>
  </w:num>
  <w:num w:numId="9">
    <w:abstractNumId w:val="15"/>
  </w:num>
  <w:num w:numId="10">
    <w:abstractNumId w:val="21"/>
  </w:num>
  <w:num w:numId="11">
    <w:abstractNumId w:val="8"/>
  </w:num>
  <w:num w:numId="12">
    <w:abstractNumId w:val="22"/>
  </w:num>
  <w:num w:numId="13">
    <w:abstractNumId w:val="9"/>
  </w:num>
  <w:num w:numId="14">
    <w:abstractNumId w:val="17"/>
  </w:num>
  <w:num w:numId="15">
    <w:abstractNumId w:val="1"/>
  </w:num>
  <w:num w:numId="16">
    <w:abstractNumId w:val="7"/>
  </w:num>
  <w:num w:numId="17">
    <w:abstractNumId w:val="10"/>
  </w:num>
  <w:num w:numId="18">
    <w:abstractNumId w:val="20"/>
  </w:num>
  <w:num w:numId="19">
    <w:abstractNumId w:val="14"/>
  </w:num>
  <w:num w:numId="20">
    <w:abstractNumId w:val="0"/>
  </w:num>
  <w:num w:numId="21">
    <w:abstractNumId w:val="30"/>
  </w:num>
  <w:num w:numId="22">
    <w:abstractNumId w:val="3"/>
  </w:num>
  <w:num w:numId="23">
    <w:abstractNumId w:val="11"/>
  </w:num>
  <w:num w:numId="24">
    <w:abstractNumId w:val="25"/>
  </w:num>
  <w:num w:numId="25">
    <w:abstractNumId w:val="24"/>
  </w:num>
  <w:num w:numId="26">
    <w:abstractNumId w:val="12"/>
  </w:num>
  <w:num w:numId="27">
    <w:abstractNumId w:val="19"/>
  </w:num>
  <w:num w:numId="28">
    <w:abstractNumId w:val="5"/>
  </w:num>
  <w:num w:numId="29">
    <w:abstractNumId w:val="27"/>
  </w:num>
  <w:num w:numId="30">
    <w:abstractNumId w:val="13"/>
  </w:num>
  <w:num w:numId="31">
    <w:abstractNumId w:val="28"/>
  </w:num>
  <w:num w:numId="3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mirrorMargins/>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Version" w:val="1"/>
    <w:docVar w:name="DOCID" w:val="OK"/>
  </w:docVars>
  <w:rsids>
    <w:rsidRoot w:val="00E44588"/>
    <w:rsid w:val="000F64C7"/>
    <w:rsid w:val="002E0941"/>
    <w:rsid w:val="00497EFD"/>
    <w:rsid w:val="00523F01"/>
    <w:rsid w:val="00544ACA"/>
    <w:rsid w:val="00552FCB"/>
    <w:rsid w:val="005A21CA"/>
    <w:rsid w:val="006F075B"/>
    <w:rsid w:val="00873887"/>
    <w:rsid w:val="009358C4"/>
    <w:rsid w:val="00A54EB1"/>
    <w:rsid w:val="00B800C5"/>
    <w:rsid w:val="00D977E0"/>
    <w:rsid w:val="00DC0500"/>
    <w:rsid w:val="00E230EA"/>
    <w:rsid w:val="00E44588"/>
    <w:rsid w:val="00EF39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List Bullet" w:uiPriority="99" w:qFormat="1"/>
    <w:lsdException w:name="List Number" w:uiPriority="99"/>
    <w:lsdException w:name="List Bullet 2" w:uiPriority="99" w:qFormat="1"/>
    <w:lsdException w:name="List Bullet 3" w:uiPriority="99" w:qFormat="1"/>
    <w:lsdException w:name="List Number 2" w:uiPriority="99"/>
    <w:lsdException w:name="List Number 3"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1"/>
    <w:lsdException w:name="No Spacing" w:qFormat="1"/>
    <w:lsdException w:name="Medium Grid 2" w:uiPriority="1" w:qFormat="1"/>
    <w:lsdException w:name="List Paragraph" w:uiPriority="34" w:qFormat="1"/>
    <w:lsdException w:name="Quote" w:qFormat="1"/>
    <w:lsdException w:name="Intense Quote" w:qFormat="1"/>
    <w:lsdException w:name="Colorful List Accent 1" w:uiPriority="34" w:qFormat="1"/>
    <w:lsdException w:name="Colorful Grid Accent 1" w:uiPriority="2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6D27"/>
    <w:pPr>
      <w:spacing w:after="200" w:line="264" w:lineRule="auto"/>
      <w:jc w:val="both"/>
    </w:pPr>
    <w:rPr>
      <w:sz w:val="22"/>
      <w:szCs w:val="22"/>
    </w:rPr>
  </w:style>
  <w:style w:type="paragraph" w:styleId="Heading1">
    <w:name w:val="heading 1"/>
    <w:basedOn w:val="Normal"/>
    <w:next w:val="Normal"/>
    <w:link w:val="Heading1Char"/>
    <w:uiPriority w:val="9"/>
    <w:qFormat/>
    <w:rsid w:val="00136D27"/>
    <w:pPr>
      <w:spacing w:before="300" w:after="40"/>
      <w:jc w:val="left"/>
      <w:outlineLvl w:val="0"/>
    </w:pPr>
    <w:rPr>
      <w:rFonts w:ascii="Cambria" w:hAnsi="Cambria"/>
      <w:smallCaps/>
      <w:spacing w:val="5"/>
      <w:sz w:val="36"/>
      <w:szCs w:val="36"/>
      <w:lang w:val="x-none" w:eastAsia="x-none"/>
    </w:rPr>
  </w:style>
  <w:style w:type="paragraph" w:styleId="Heading2">
    <w:name w:val="heading 2"/>
    <w:basedOn w:val="Normal"/>
    <w:next w:val="Normal"/>
    <w:link w:val="Heading2Char"/>
    <w:uiPriority w:val="9"/>
    <w:qFormat/>
    <w:rsid w:val="00136D27"/>
    <w:pPr>
      <w:spacing w:before="240" w:after="80"/>
      <w:jc w:val="left"/>
      <w:outlineLvl w:val="1"/>
    </w:pPr>
    <w:rPr>
      <w:rFonts w:ascii="Cambria" w:hAnsi="Cambria"/>
      <w:smallCaps/>
      <w:spacing w:val="5"/>
      <w:sz w:val="32"/>
      <w:szCs w:val="32"/>
      <w:lang w:val="x-none" w:eastAsia="x-none"/>
    </w:rPr>
  </w:style>
  <w:style w:type="paragraph" w:styleId="Heading3">
    <w:name w:val="heading 3"/>
    <w:basedOn w:val="Normal"/>
    <w:next w:val="Normal"/>
    <w:link w:val="Heading3Char"/>
    <w:uiPriority w:val="9"/>
    <w:qFormat/>
    <w:rsid w:val="00877B93"/>
    <w:pPr>
      <w:keepNext/>
      <w:pBdr>
        <w:bottom w:val="single" w:sz="4" w:space="1" w:color="auto"/>
      </w:pBdr>
      <w:spacing w:after="60"/>
      <w:jc w:val="left"/>
      <w:outlineLvl w:val="2"/>
    </w:pPr>
    <w:rPr>
      <w:rFonts w:ascii="Cambria" w:hAnsi="Cambria"/>
      <w:smallCaps/>
      <w:spacing w:val="20"/>
      <w:sz w:val="30"/>
      <w:szCs w:val="30"/>
      <w:lang w:val="x-none" w:eastAsia="x-none"/>
    </w:rPr>
  </w:style>
  <w:style w:type="paragraph" w:styleId="Heading4">
    <w:name w:val="heading 4"/>
    <w:basedOn w:val="Normal"/>
    <w:next w:val="Normal"/>
    <w:link w:val="Heading4Char"/>
    <w:uiPriority w:val="9"/>
    <w:qFormat/>
    <w:rsid w:val="00877B93"/>
    <w:pPr>
      <w:keepNext/>
      <w:spacing w:before="240" w:after="60"/>
      <w:jc w:val="left"/>
      <w:outlineLvl w:val="3"/>
    </w:pPr>
    <w:rPr>
      <w:rFonts w:ascii="Cambria" w:hAnsi="Cambria"/>
      <w:b/>
      <w:sz w:val="26"/>
      <w:szCs w:val="26"/>
      <w:lang w:val="x-none" w:eastAsia="x-none"/>
    </w:rPr>
  </w:style>
  <w:style w:type="paragraph" w:styleId="Heading5">
    <w:name w:val="heading 5"/>
    <w:basedOn w:val="Normal"/>
    <w:next w:val="Normal"/>
    <w:link w:val="Heading5Char"/>
    <w:uiPriority w:val="9"/>
    <w:qFormat/>
    <w:rsid w:val="00A76537"/>
    <w:pPr>
      <w:keepNext/>
      <w:outlineLvl w:val="4"/>
    </w:pPr>
    <w:rPr>
      <w:rFonts w:ascii="Cambria" w:hAnsi="Cambria"/>
      <w:smallCaps/>
      <w:sz w:val="20"/>
      <w:lang w:val="x-none" w:eastAsia="x-none"/>
    </w:rPr>
  </w:style>
  <w:style w:type="paragraph" w:styleId="Heading6">
    <w:name w:val="heading 6"/>
    <w:basedOn w:val="Normal"/>
    <w:next w:val="Normal"/>
    <w:link w:val="Heading6Char"/>
    <w:uiPriority w:val="9"/>
    <w:qFormat/>
    <w:rsid w:val="00136D27"/>
    <w:pPr>
      <w:spacing w:after="0"/>
      <w:jc w:val="left"/>
      <w:outlineLvl w:val="5"/>
    </w:pPr>
    <w:rPr>
      <w:rFonts w:ascii="Cambria" w:hAnsi="Cambria"/>
      <w:b/>
      <w:i/>
      <w:color w:val="000000"/>
      <w:spacing w:val="5"/>
      <w:lang w:val="x-none" w:eastAsia="x-none"/>
    </w:rPr>
  </w:style>
  <w:style w:type="paragraph" w:styleId="Heading7">
    <w:name w:val="heading 7"/>
    <w:aliases w:val="Table Title"/>
    <w:basedOn w:val="Normal"/>
    <w:next w:val="Normal"/>
    <w:link w:val="Heading7Char"/>
    <w:uiPriority w:val="9"/>
    <w:qFormat/>
    <w:rsid w:val="00136D27"/>
    <w:pPr>
      <w:spacing w:after="0"/>
      <w:jc w:val="left"/>
      <w:outlineLvl w:val="6"/>
    </w:pPr>
    <w:rPr>
      <w:b/>
      <w:i/>
      <w:smallCaps/>
      <w:color w:val="000000"/>
      <w:spacing w:val="2"/>
      <w:lang w:val="x-none" w:eastAsia="x-none"/>
    </w:rPr>
  </w:style>
  <w:style w:type="paragraph" w:styleId="Heading8">
    <w:name w:val="heading 8"/>
    <w:aliases w:val="Heading 8 - Table Heading Row"/>
    <w:basedOn w:val="Heading5"/>
    <w:next w:val="Normal"/>
    <w:link w:val="Heading8Char"/>
    <w:uiPriority w:val="9"/>
    <w:qFormat/>
    <w:rsid w:val="00136D27"/>
    <w:pPr>
      <w:spacing w:after="0"/>
      <w:jc w:val="left"/>
      <w:outlineLvl w:val="7"/>
    </w:pPr>
  </w:style>
  <w:style w:type="paragraph" w:styleId="Heading9">
    <w:name w:val="heading 9"/>
    <w:basedOn w:val="Normal"/>
    <w:next w:val="Normal"/>
    <w:link w:val="Heading9Char"/>
    <w:uiPriority w:val="9"/>
    <w:qFormat/>
    <w:rsid w:val="00136D27"/>
    <w:pPr>
      <w:spacing w:after="0"/>
      <w:jc w:val="left"/>
      <w:outlineLvl w:val="8"/>
    </w:pPr>
    <w:rPr>
      <w:b/>
      <w:i/>
      <w:color w:val="7F7F7F"/>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10C1"/>
    <w:rPr>
      <w:rFonts w:ascii="Cambria" w:eastAsia="Times New Roman" w:hAnsi="Cambria" w:cs="Times New Roman"/>
      <w:smallCaps/>
      <w:spacing w:val="5"/>
      <w:sz w:val="36"/>
      <w:szCs w:val="36"/>
      <w:lang w:bidi="ar-SA"/>
    </w:rPr>
  </w:style>
  <w:style w:type="character" w:customStyle="1" w:styleId="Heading2Char">
    <w:name w:val="Heading 2 Char"/>
    <w:link w:val="Heading2"/>
    <w:uiPriority w:val="9"/>
    <w:rsid w:val="00477926"/>
    <w:rPr>
      <w:rFonts w:ascii="Cambria" w:eastAsia="Times New Roman" w:hAnsi="Cambria" w:cs="Times New Roman"/>
      <w:smallCaps/>
      <w:spacing w:val="5"/>
      <w:sz w:val="32"/>
      <w:szCs w:val="32"/>
      <w:lang w:bidi="ar-SA"/>
    </w:rPr>
  </w:style>
  <w:style w:type="character" w:customStyle="1" w:styleId="Heading3Char">
    <w:name w:val="Heading 3 Char"/>
    <w:link w:val="Heading3"/>
    <w:uiPriority w:val="9"/>
    <w:rsid w:val="00350F4A"/>
    <w:rPr>
      <w:rFonts w:ascii="Cambria" w:eastAsia="Times New Roman" w:hAnsi="Cambria" w:cs="Times New Roman"/>
      <w:smallCaps/>
      <w:spacing w:val="20"/>
      <w:sz w:val="30"/>
      <w:szCs w:val="30"/>
      <w:lang w:bidi="ar-SA"/>
    </w:rPr>
  </w:style>
  <w:style w:type="character" w:customStyle="1" w:styleId="Heading4Char">
    <w:name w:val="Heading 4 Char"/>
    <w:link w:val="Heading4"/>
    <w:uiPriority w:val="9"/>
    <w:rsid w:val="00477926"/>
    <w:rPr>
      <w:rFonts w:ascii="Cambria" w:eastAsia="Times New Roman" w:hAnsi="Cambria" w:cs="Times New Roman"/>
      <w:b/>
      <w:sz w:val="26"/>
      <w:szCs w:val="26"/>
      <w:lang w:bidi="ar-SA"/>
    </w:rPr>
  </w:style>
  <w:style w:type="character" w:customStyle="1" w:styleId="Heading5Char">
    <w:name w:val="Heading 5 Char"/>
    <w:link w:val="Heading5"/>
    <w:uiPriority w:val="9"/>
    <w:rsid w:val="00BF10C1"/>
    <w:rPr>
      <w:rFonts w:ascii="Cambria" w:eastAsia="Times New Roman" w:hAnsi="Cambria" w:cs="Times New Roman"/>
      <w:smallCaps/>
      <w:szCs w:val="22"/>
      <w:lang w:bidi="ar-SA"/>
    </w:rPr>
  </w:style>
  <w:style w:type="character" w:customStyle="1" w:styleId="Heading6Char">
    <w:name w:val="Heading 6 Char"/>
    <w:link w:val="Heading6"/>
    <w:uiPriority w:val="9"/>
    <w:rsid w:val="00350F4A"/>
    <w:rPr>
      <w:rFonts w:ascii="Cambria" w:eastAsia="Times New Roman" w:hAnsi="Cambria" w:cs="Times New Roman"/>
      <w:b/>
      <w:i/>
      <w:color w:val="000000"/>
      <w:spacing w:val="5"/>
      <w:sz w:val="22"/>
      <w:szCs w:val="22"/>
      <w:lang w:bidi="ar-SA"/>
    </w:rPr>
  </w:style>
  <w:style w:type="character" w:customStyle="1" w:styleId="Heading7Char">
    <w:name w:val="Heading 7 Char"/>
    <w:aliases w:val="Table Title Char"/>
    <w:link w:val="Heading7"/>
    <w:uiPriority w:val="9"/>
    <w:rsid w:val="00477926"/>
    <w:rPr>
      <w:rFonts w:ascii="Calibri" w:eastAsia="Times New Roman" w:hAnsi="Calibri" w:cs="Times New Roman"/>
      <w:b/>
      <w:i/>
      <w:smallCaps/>
      <w:color w:val="000000"/>
      <w:spacing w:val="2"/>
      <w:sz w:val="22"/>
      <w:szCs w:val="22"/>
      <w:lang w:bidi="ar-SA"/>
    </w:rPr>
  </w:style>
  <w:style w:type="character" w:customStyle="1" w:styleId="Heading8Char">
    <w:name w:val="Heading 8 Char"/>
    <w:aliases w:val="Heading 8 - Table Heading Row Char"/>
    <w:link w:val="Heading8"/>
    <w:uiPriority w:val="9"/>
    <w:rsid w:val="00477926"/>
    <w:rPr>
      <w:rFonts w:ascii="Cambria" w:eastAsia="Times New Roman" w:hAnsi="Cambria" w:cs="Times New Roman"/>
      <w:smallCaps/>
      <w:sz w:val="20"/>
      <w:szCs w:val="22"/>
      <w:lang w:bidi="ar-SA"/>
    </w:rPr>
  </w:style>
  <w:style w:type="character" w:customStyle="1" w:styleId="Heading9Char">
    <w:name w:val="Heading 9 Char"/>
    <w:link w:val="Heading9"/>
    <w:uiPriority w:val="9"/>
    <w:rsid w:val="00477926"/>
    <w:rPr>
      <w:rFonts w:ascii="Calibri" w:eastAsia="Times New Roman" w:hAnsi="Calibri" w:cs="Times New Roman"/>
      <w:b/>
      <w:i/>
      <w:color w:val="7F7F7F"/>
      <w:sz w:val="22"/>
      <w:szCs w:val="22"/>
      <w:lang w:bidi="ar-SA"/>
    </w:rPr>
  </w:style>
  <w:style w:type="paragraph" w:styleId="BalloonText">
    <w:name w:val="Balloon Text"/>
    <w:basedOn w:val="Normal"/>
    <w:link w:val="BalloonTextChar"/>
    <w:uiPriority w:val="99"/>
    <w:unhideWhenUsed/>
    <w:rsid w:val="00136D27"/>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rsid w:val="00136D27"/>
    <w:rPr>
      <w:rFonts w:ascii="Tahoma" w:eastAsia="Times New Roman" w:hAnsi="Tahoma" w:cs="Tahoma"/>
      <w:sz w:val="16"/>
      <w:szCs w:val="16"/>
      <w:lang w:bidi="ar-SA"/>
    </w:rPr>
  </w:style>
  <w:style w:type="paragraph" w:customStyle="1" w:styleId="ColorfulGrid-Accent11">
    <w:name w:val="Colorful Grid - Accent 11"/>
    <w:basedOn w:val="Normal"/>
    <w:next w:val="Normal"/>
    <w:uiPriority w:val="29"/>
    <w:qFormat/>
    <w:rsid w:val="00136D27"/>
    <w:pPr>
      <w:spacing w:after="160"/>
      <w:ind w:left="2160"/>
    </w:pPr>
    <w:rPr>
      <w:i/>
      <w:iCs/>
      <w:color w:val="0F243E"/>
      <w:szCs w:val="20"/>
      <w:lang w:bidi="en-US"/>
    </w:rPr>
  </w:style>
  <w:style w:type="character" w:styleId="Emphasis">
    <w:name w:val="Emphasis"/>
    <w:uiPriority w:val="20"/>
    <w:qFormat/>
    <w:rsid w:val="00136D27"/>
    <w:rPr>
      <w:i/>
      <w:iCs/>
    </w:rPr>
  </w:style>
  <w:style w:type="paragraph" w:styleId="Footer">
    <w:name w:val="footer"/>
    <w:basedOn w:val="Normal"/>
    <w:link w:val="FooterChar"/>
    <w:uiPriority w:val="99"/>
    <w:unhideWhenUsed/>
    <w:rsid w:val="00136D27"/>
    <w:pPr>
      <w:tabs>
        <w:tab w:val="center" w:pos="4680"/>
        <w:tab w:val="right" w:pos="9360"/>
      </w:tabs>
      <w:spacing w:after="0" w:line="240" w:lineRule="auto"/>
    </w:pPr>
    <w:rPr>
      <w:lang w:val="x-none" w:eastAsia="x-none"/>
    </w:rPr>
  </w:style>
  <w:style w:type="character" w:customStyle="1" w:styleId="FooterChar">
    <w:name w:val="Footer Char"/>
    <w:link w:val="Footer"/>
    <w:uiPriority w:val="99"/>
    <w:rsid w:val="00136D27"/>
    <w:rPr>
      <w:rFonts w:ascii="Calibri" w:eastAsia="Times New Roman" w:hAnsi="Calibri" w:cs="Times New Roman"/>
      <w:sz w:val="22"/>
      <w:szCs w:val="22"/>
      <w:lang w:bidi="ar-SA"/>
    </w:rPr>
  </w:style>
  <w:style w:type="paragraph" w:styleId="Header">
    <w:name w:val="header"/>
    <w:aliases w:val="First Page"/>
    <w:basedOn w:val="Heading1"/>
    <w:link w:val="HeaderChar"/>
    <w:uiPriority w:val="99"/>
    <w:unhideWhenUsed/>
    <w:rsid w:val="00136D27"/>
    <w:pPr>
      <w:tabs>
        <w:tab w:val="center" w:pos="4680"/>
        <w:tab w:val="right" w:pos="9360"/>
      </w:tabs>
      <w:spacing w:before="120" w:after="0" w:line="240" w:lineRule="auto"/>
    </w:pPr>
  </w:style>
  <w:style w:type="character" w:customStyle="1" w:styleId="HeaderChar">
    <w:name w:val="Header Char"/>
    <w:aliases w:val="First Page Char"/>
    <w:link w:val="Header"/>
    <w:uiPriority w:val="99"/>
    <w:rsid w:val="00136D27"/>
    <w:rPr>
      <w:rFonts w:ascii="Cambria" w:eastAsia="Times New Roman" w:hAnsi="Cambria" w:cs="Times New Roman"/>
      <w:smallCaps/>
      <w:spacing w:val="5"/>
      <w:sz w:val="36"/>
      <w:szCs w:val="36"/>
      <w:lang w:bidi="ar-SA"/>
    </w:rPr>
  </w:style>
  <w:style w:type="paragraph" w:customStyle="1" w:styleId="Header-EvenPage">
    <w:name w:val="Header - Even Page"/>
    <w:basedOn w:val="Header"/>
    <w:qFormat/>
    <w:rsid w:val="00136D27"/>
    <w:rPr>
      <w:sz w:val="32"/>
    </w:rPr>
  </w:style>
  <w:style w:type="character" w:styleId="Hyperlink">
    <w:name w:val="Hyperlink"/>
    <w:uiPriority w:val="99"/>
    <w:unhideWhenUsed/>
    <w:rsid w:val="00136D27"/>
    <w:rPr>
      <w:color w:val="0000FF"/>
      <w:u w:val="single"/>
    </w:rPr>
  </w:style>
  <w:style w:type="character" w:customStyle="1" w:styleId="Impact-MMChar">
    <w:name w:val="Impact-MM Char"/>
    <w:rsid w:val="00136D27"/>
    <w:rPr>
      <w:rFonts w:ascii="Century Gothic" w:hAnsi="Century Gothic"/>
      <w:bCs/>
      <w:szCs w:val="24"/>
      <w:lang w:val="en-US" w:eastAsia="en-US" w:bidi="ar-SA"/>
    </w:rPr>
  </w:style>
  <w:style w:type="paragraph" w:styleId="ListBullet">
    <w:name w:val="List Bullet"/>
    <w:basedOn w:val="Normal"/>
    <w:uiPriority w:val="99"/>
    <w:unhideWhenUsed/>
    <w:qFormat/>
    <w:rsid w:val="00136D27"/>
    <w:pPr>
      <w:numPr>
        <w:numId w:val="2"/>
      </w:numPr>
      <w:contextualSpacing/>
    </w:pPr>
  </w:style>
  <w:style w:type="paragraph" w:styleId="ListBullet2">
    <w:name w:val="List Bullet 2"/>
    <w:basedOn w:val="Normal"/>
    <w:uiPriority w:val="99"/>
    <w:unhideWhenUsed/>
    <w:qFormat/>
    <w:rsid w:val="00136D27"/>
    <w:pPr>
      <w:numPr>
        <w:numId w:val="3"/>
      </w:numPr>
      <w:contextualSpacing/>
    </w:pPr>
  </w:style>
  <w:style w:type="paragraph" w:styleId="ListBullet3">
    <w:name w:val="List Bullet 3"/>
    <w:basedOn w:val="Normal"/>
    <w:uiPriority w:val="99"/>
    <w:unhideWhenUsed/>
    <w:qFormat/>
    <w:rsid w:val="00136D27"/>
    <w:pPr>
      <w:tabs>
        <w:tab w:val="num" w:pos="1080"/>
      </w:tabs>
      <w:ind w:left="1080" w:hanging="360"/>
      <w:contextualSpacing/>
    </w:pPr>
  </w:style>
  <w:style w:type="paragraph" w:styleId="ListNumber">
    <w:name w:val="List Number"/>
    <w:basedOn w:val="Normal"/>
    <w:uiPriority w:val="99"/>
    <w:unhideWhenUsed/>
    <w:rsid w:val="00136D27"/>
    <w:pPr>
      <w:tabs>
        <w:tab w:val="num" w:pos="360"/>
      </w:tabs>
      <w:ind w:left="360" w:hanging="360"/>
      <w:contextualSpacing/>
    </w:pPr>
  </w:style>
  <w:style w:type="paragraph" w:styleId="ListNumber2">
    <w:name w:val="List Number 2"/>
    <w:basedOn w:val="Normal"/>
    <w:uiPriority w:val="99"/>
    <w:unhideWhenUsed/>
    <w:rsid w:val="00136D27"/>
    <w:pPr>
      <w:tabs>
        <w:tab w:val="num" w:pos="720"/>
      </w:tabs>
      <w:ind w:left="720" w:hanging="360"/>
      <w:contextualSpacing/>
    </w:pPr>
  </w:style>
  <w:style w:type="paragraph" w:styleId="ListNumber3">
    <w:name w:val="List Number 3"/>
    <w:basedOn w:val="Normal"/>
    <w:uiPriority w:val="99"/>
    <w:unhideWhenUsed/>
    <w:rsid w:val="00136D27"/>
    <w:pPr>
      <w:tabs>
        <w:tab w:val="num" w:pos="1080"/>
      </w:tabs>
      <w:ind w:left="1080" w:hanging="360"/>
      <w:contextualSpacing/>
    </w:pPr>
  </w:style>
  <w:style w:type="paragraph" w:customStyle="1" w:styleId="MediumGrid1-Accent21">
    <w:name w:val="Medium Grid 1 - Accent 21"/>
    <w:basedOn w:val="Normal"/>
    <w:uiPriority w:val="34"/>
    <w:qFormat/>
    <w:rsid w:val="00136D27"/>
    <w:pPr>
      <w:ind w:left="1080" w:hanging="360"/>
      <w:contextualSpacing/>
    </w:pPr>
  </w:style>
  <w:style w:type="paragraph" w:customStyle="1" w:styleId="MediumShading1-Accent11">
    <w:name w:val="Medium Shading 1 - Accent 11"/>
    <w:uiPriority w:val="1"/>
    <w:qFormat/>
    <w:rsid w:val="00136D27"/>
    <w:pPr>
      <w:jc w:val="both"/>
    </w:pPr>
    <w:rPr>
      <w:sz w:val="22"/>
      <w:szCs w:val="22"/>
    </w:rPr>
  </w:style>
  <w:style w:type="paragraph" w:styleId="NormalWeb">
    <w:name w:val="Normal (Web)"/>
    <w:basedOn w:val="Normal"/>
    <w:uiPriority w:val="99"/>
    <w:unhideWhenUsed/>
    <w:rsid w:val="00136D27"/>
    <w:pPr>
      <w:spacing w:before="168" w:after="216" w:line="240" w:lineRule="auto"/>
      <w:jc w:val="left"/>
    </w:pPr>
    <w:rPr>
      <w:rFonts w:ascii="Times New Roman" w:hAnsi="Times New Roman"/>
      <w:sz w:val="24"/>
      <w:szCs w:val="24"/>
    </w:rPr>
  </w:style>
  <w:style w:type="paragraph" w:customStyle="1" w:styleId="MediumGrid2-Accent21">
    <w:name w:val="Medium Grid 2 - Accent 21"/>
    <w:basedOn w:val="Normal"/>
    <w:next w:val="Normal"/>
    <w:link w:val="MediumGrid2-Accent2Char"/>
    <w:uiPriority w:val="29"/>
    <w:rsid w:val="00136D27"/>
    <w:rPr>
      <w:i/>
      <w:lang w:val="x-none" w:eastAsia="x-none"/>
    </w:rPr>
  </w:style>
  <w:style w:type="character" w:customStyle="1" w:styleId="MediumGrid2-Accent2Char">
    <w:name w:val="Medium Grid 2 - Accent 2 Char"/>
    <w:link w:val="MediumGrid2-Accent21"/>
    <w:uiPriority w:val="29"/>
    <w:rsid w:val="00136D27"/>
    <w:rPr>
      <w:rFonts w:ascii="Calibri" w:eastAsia="Times New Roman" w:hAnsi="Calibri" w:cs="Times New Roman"/>
      <w:i/>
      <w:sz w:val="22"/>
      <w:szCs w:val="22"/>
      <w:lang w:bidi="ar-SA"/>
    </w:rPr>
  </w:style>
  <w:style w:type="paragraph" w:customStyle="1" w:styleId="Source">
    <w:name w:val="Source"/>
    <w:next w:val="Normal"/>
    <w:qFormat/>
    <w:rsid w:val="00136D27"/>
    <w:pPr>
      <w:spacing w:after="160" w:line="288" w:lineRule="auto"/>
      <w:ind w:left="90"/>
      <w:jc w:val="both"/>
    </w:pPr>
    <w:rPr>
      <w:i/>
      <w:iCs/>
      <w:smallCaps/>
      <w:lang w:bidi="en-US"/>
    </w:rPr>
  </w:style>
  <w:style w:type="character" w:customStyle="1" w:styleId="SubtleEmphasis1">
    <w:name w:val="Subtle Emphasis1"/>
    <w:uiPriority w:val="19"/>
    <w:qFormat/>
    <w:rsid w:val="00136D27"/>
    <w:rPr>
      <w:i/>
      <w:iCs/>
      <w:color w:val="808080"/>
    </w:rPr>
  </w:style>
  <w:style w:type="character" w:customStyle="1" w:styleId="SubtleEmphasis10">
    <w:name w:val="Subtle Emphasis1"/>
    <w:uiPriority w:val="19"/>
    <w:qFormat/>
    <w:rsid w:val="00136D27"/>
    <w:rPr>
      <w:smallCaps/>
      <w:dstrike w:val="0"/>
      <w:color w:val="5A5A5A"/>
      <w:vertAlign w:val="baseline"/>
    </w:rPr>
  </w:style>
  <w:style w:type="table" w:styleId="TableGrid">
    <w:name w:val="Table Grid"/>
    <w:basedOn w:val="TableNormal"/>
    <w:uiPriority w:val="1"/>
    <w:rsid w:val="00136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1"/>
    <w:rsid w:val="00136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ingRow">
    <w:name w:val="Table Heading Row"/>
    <w:basedOn w:val="Heading8"/>
    <w:qFormat/>
    <w:rsid w:val="00575714"/>
    <w:pPr>
      <w:shd w:val="clear" w:color="auto" w:fill="D9D9D9"/>
      <w:jc w:val="center"/>
    </w:pPr>
    <w:rPr>
      <w:i/>
    </w:rPr>
  </w:style>
  <w:style w:type="paragraph" w:customStyle="1" w:styleId="TableText">
    <w:name w:val="Table Text"/>
    <w:basedOn w:val="Normal"/>
    <w:rsid w:val="00136D27"/>
    <w:pPr>
      <w:spacing w:before="120" w:after="120" w:line="240" w:lineRule="auto"/>
    </w:pPr>
    <w:rPr>
      <w:rFonts w:ascii="Cambria" w:hAnsi="Cambria"/>
      <w:sz w:val="18"/>
      <w:szCs w:val="18"/>
    </w:rPr>
  </w:style>
  <w:style w:type="paragraph" w:customStyle="1" w:styleId="TextBox">
    <w:name w:val="Text Box"/>
    <w:basedOn w:val="Normal"/>
    <w:rsid w:val="00136D27"/>
    <w:pPr>
      <w:spacing w:after="0" w:line="240" w:lineRule="auto"/>
      <w:jc w:val="left"/>
    </w:pPr>
    <w:rPr>
      <w:rFonts w:ascii="Arial" w:hAnsi="Arial"/>
      <w:b/>
      <w:caps/>
      <w:spacing w:val="-3"/>
      <w:sz w:val="28"/>
    </w:rPr>
  </w:style>
  <w:style w:type="paragraph" w:customStyle="1" w:styleId="TOCHeading1">
    <w:name w:val="TOC Heading1"/>
    <w:basedOn w:val="Heading1"/>
    <w:next w:val="Normal"/>
    <w:uiPriority w:val="39"/>
    <w:unhideWhenUsed/>
    <w:qFormat/>
    <w:rsid w:val="00136D27"/>
    <w:pPr>
      <w:outlineLvl w:val="9"/>
    </w:pPr>
  </w:style>
  <w:style w:type="paragraph" w:customStyle="1" w:styleId="TOCHeading10">
    <w:name w:val="TOC Heading1"/>
    <w:basedOn w:val="Heading1"/>
    <w:next w:val="Normal"/>
    <w:uiPriority w:val="39"/>
    <w:unhideWhenUsed/>
    <w:qFormat/>
    <w:rsid w:val="00136D27"/>
  </w:style>
  <w:style w:type="paragraph" w:customStyle="1" w:styleId="MediumList2-Accent21">
    <w:name w:val="Medium List 2 - Accent 21"/>
    <w:hidden/>
    <w:rsid w:val="00BF1663"/>
    <w:rPr>
      <w:sz w:val="22"/>
      <w:szCs w:val="22"/>
    </w:rPr>
  </w:style>
  <w:style w:type="character" w:styleId="Strong">
    <w:name w:val="Strong"/>
    <w:uiPriority w:val="22"/>
    <w:qFormat/>
    <w:rsid w:val="00E4338C"/>
    <w:rPr>
      <w:b/>
      <w:bCs/>
    </w:rPr>
  </w:style>
  <w:style w:type="character" w:styleId="CommentReference">
    <w:name w:val="annotation reference"/>
    <w:uiPriority w:val="99"/>
    <w:rsid w:val="0068669B"/>
    <w:rPr>
      <w:sz w:val="16"/>
      <w:szCs w:val="16"/>
    </w:rPr>
  </w:style>
  <w:style w:type="paragraph" w:styleId="CommentText">
    <w:name w:val="annotation text"/>
    <w:basedOn w:val="Normal"/>
    <w:link w:val="CommentTextChar"/>
    <w:uiPriority w:val="99"/>
    <w:rsid w:val="0068669B"/>
    <w:pPr>
      <w:spacing w:line="240" w:lineRule="auto"/>
    </w:pPr>
    <w:rPr>
      <w:sz w:val="20"/>
      <w:szCs w:val="20"/>
      <w:lang w:val="x-none" w:eastAsia="x-none"/>
    </w:rPr>
  </w:style>
  <w:style w:type="character" w:customStyle="1" w:styleId="CommentTextChar">
    <w:name w:val="Comment Text Char"/>
    <w:link w:val="CommentText"/>
    <w:uiPriority w:val="99"/>
    <w:rsid w:val="0068669B"/>
    <w:rPr>
      <w:rFonts w:ascii="Calibri" w:eastAsia="Times New Roman" w:hAnsi="Calibri" w:cs="Times New Roman"/>
      <w:sz w:val="20"/>
      <w:szCs w:val="20"/>
      <w:lang w:bidi="ar-SA"/>
    </w:rPr>
  </w:style>
  <w:style w:type="paragraph" w:styleId="CommentSubject">
    <w:name w:val="annotation subject"/>
    <w:basedOn w:val="CommentText"/>
    <w:next w:val="CommentText"/>
    <w:link w:val="CommentSubjectChar"/>
    <w:rsid w:val="0068669B"/>
    <w:rPr>
      <w:b/>
      <w:bCs/>
    </w:rPr>
  </w:style>
  <w:style w:type="character" w:customStyle="1" w:styleId="CommentSubjectChar">
    <w:name w:val="Comment Subject Char"/>
    <w:link w:val="CommentSubject"/>
    <w:rsid w:val="0068669B"/>
    <w:rPr>
      <w:rFonts w:ascii="Calibri" w:eastAsia="Times New Roman" w:hAnsi="Calibri" w:cs="Times New Roman"/>
      <w:b/>
      <w:bCs/>
      <w:sz w:val="20"/>
      <w:szCs w:val="20"/>
      <w:lang w:bidi="ar-SA"/>
    </w:rPr>
  </w:style>
  <w:style w:type="paragraph" w:customStyle="1" w:styleId="Figure">
    <w:name w:val="Figure"/>
    <w:basedOn w:val="Normal"/>
    <w:link w:val="FigureChar"/>
    <w:qFormat/>
    <w:rsid w:val="00D216DE"/>
    <w:pPr>
      <w:keepNext/>
      <w:spacing w:after="260" w:line="240" w:lineRule="auto"/>
      <w:jc w:val="left"/>
    </w:pPr>
    <w:rPr>
      <w:rFonts w:ascii="Arial" w:hAnsi="Arial" w:cs="Arial"/>
      <w:b/>
      <w:bCs/>
      <w:szCs w:val="26"/>
      <w:lang w:val="x-none" w:eastAsia="x-none"/>
    </w:rPr>
  </w:style>
  <w:style w:type="character" w:customStyle="1" w:styleId="FigureChar">
    <w:name w:val="Figure Char"/>
    <w:link w:val="Figure"/>
    <w:rsid w:val="00D216DE"/>
    <w:rPr>
      <w:rFonts w:ascii="Arial" w:eastAsia="Times New Roman" w:hAnsi="Arial" w:cs="Arial"/>
      <w:b/>
      <w:bCs/>
      <w:sz w:val="22"/>
      <w:szCs w:val="26"/>
      <w:lang w:bidi="ar-SA"/>
    </w:rPr>
  </w:style>
  <w:style w:type="character" w:customStyle="1" w:styleId="textyellow">
    <w:name w:val="textyellow"/>
    <w:rsid w:val="006E2678"/>
    <w:rPr>
      <w:rFonts w:ascii="Arial" w:hAnsi="Arial" w:cs="Arial" w:hint="default"/>
      <w:b/>
      <w:bCs/>
      <w:color w:val="FFFF00"/>
      <w:sz w:val="18"/>
      <w:szCs w:val="18"/>
    </w:rPr>
  </w:style>
  <w:style w:type="character" w:customStyle="1" w:styleId="text">
    <w:name w:val="text"/>
    <w:rsid w:val="006E2678"/>
    <w:rPr>
      <w:rFonts w:ascii="Arial" w:hAnsi="Arial" w:cs="Arial" w:hint="default"/>
      <w:b/>
      <w:bCs/>
      <w:color w:val="FFFFFF"/>
      <w:sz w:val="18"/>
      <w:szCs w:val="18"/>
    </w:rPr>
  </w:style>
  <w:style w:type="paragraph" w:customStyle="1" w:styleId="FPSourceandNote">
    <w:name w:val="F&amp;P Source and Note"/>
    <w:basedOn w:val="Normal"/>
    <w:rsid w:val="00F01301"/>
    <w:pPr>
      <w:autoSpaceDE w:val="0"/>
      <w:autoSpaceDN w:val="0"/>
      <w:adjustRightInd w:val="0"/>
      <w:spacing w:before="60" w:after="60"/>
      <w:ind w:left="360" w:right="72" w:hanging="288"/>
    </w:pPr>
    <w:rPr>
      <w:rFonts w:ascii="Arial" w:hAnsi="Arial" w:cs="Arial"/>
      <w:color w:val="000000"/>
      <w:sz w:val="16"/>
      <w:szCs w:val="20"/>
    </w:rPr>
  </w:style>
  <w:style w:type="paragraph" w:customStyle="1" w:styleId="FPTableColumnHead">
    <w:name w:val="F&amp;P Table Column Head"/>
    <w:basedOn w:val="Normal"/>
    <w:link w:val="FPTableColumnHeadChar"/>
    <w:rsid w:val="00F01301"/>
    <w:pPr>
      <w:spacing w:before="40" w:after="40"/>
      <w:jc w:val="center"/>
    </w:pPr>
    <w:rPr>
      <w:rFonts w:ascii="Arial" w:hAnsi="Arial" w:cs="Arial"/>
      <w:b/>
      <w:bCs/>
      <w:color w:val="000000"/>
      <w:sz w:val="18"/>
      <w:szCs w:val="20"/>
      <w:lang w:val="x-none" w:eastAsia="x-none"/>
    </w:rPr>
  </w:style>
  <w:style w:type="character" w:customStyle="1" w:styleId="FPTableColumnHeadChar">
    <w:name w:val="F&amp;P Table Column Head Char"/>
    <w:link w:val="FPTableColumnHead"/>
    <w:rsid w:val="00F01301"/>
    <w:rPr>
      <w:rFonts w:ascii="Arial" w:eastAsia="Times New Roman" w:hAnsi="Arial" w:cs="Arial"/>
      <w:b/>
      <w:bCs/>
      <w:color w:val="000000"/>
      <w:sz w:val="18"/>
      <w:szCs w:val="20"/>
      <w:lang w:bidi="ar-SA"/>
    </w:rPr>
  </w:style>
  <w:style w:type="paragraph" w:customStyle="1" w:styleId="FPTableHeading">
    <w:name w:val="F&amp;P Table Heading"/>
    <w:basedOn w:val="Normal"/>
    <w:rsid w:val="00F01301"/>
    <w:pPr>
      <w:autoSpaceDE w:val="0"/>
      <w:autoSpaceDN w:val="0"/>
      <w:adjustRightInd w:val="0"/>
      <w:spacing w:before="200"/>
      <w:jc w:val="center"/>
    </w:pPr>
    <w:rPr>
      <w:rFonts w:ascii="Arial" w:hAnsi="Arial" w:cs="Arial"/>
      <w:b/>
      <w:bCs/>
      <w:caps/>
      <w:color w:val="000000"/>
      <w:sz w:val="18"/>
      <w:szCs w:val="20"/>
    </w:rPr>
  </w:style>
  <w:style w:type="paragraph" w:customStyle="1" w:styleId="FPTableText">
    <w:name w:val="F&amp;P Table Text"/>
    <w:basedOn w:val="Normal"/>
    <w:rsid w:val="00F01301"/>
    <w:pPr>
      <w:autoSpaceDE w:val="0"/>
      <w:autoSpaceDN w:val="0"/>
      <w:adjustRightInd w:val="0"/>
      <w:spacing w:before="40" w:after="40"/>
      <w:jc w:val="center"/>
    </w:pPr>
    <w:rPr>
      <w:rFonts w:ascii="Arial" w:hAnsi="Arial" w:cs="Arial"/>
      <w:color w:val="000000"/>
      <w:sz w:val="18"/>
      <w:szCs w:val="20"/>
    </w:rPr>
  </w:style>
  <w:style w:type="paragraph" w:customStyle="1" w:styleId="FPTableRowHeading">
    <w:name w:val="F&amp;P Table Row Heading"/>
    <w:basedOn w:val="FPTableText"/>
    <w:rsid w:val="00F01301"/>
  </w:style>
  <w:style w:type="character" w:customStyle="1" w:styleId="textdim">
    <w:name w:val="textdim"/>
    <w:rsid w:val="009B15BE"/>
    <w:rPr>
      <w:rFonts w:ascii="Arial" w:hAnsi="Arial" w:cs="Arial" w:hint="default"/>
      <w:b w:val="0"/>
      <w:bCs w:val="0"/>
      <w:i/>
      <w:iCs/>
      <w:color w:val="FFFFFF"/>
      <w:sz w:val="18"/>
      <w:szCs w:val="18"/>
    </w:rPr>
  </w:style>
  <w:style w:type="character" w:customStyle="1" w:styleId="textorange">
    <w:name w:val="textorange"/>
    <w:rsid w:val="009B15BE"/>
    <w:rPr>
      <w:rFonts w:ascii="Arial" w:hAnsi="Arial" w:cs="Arial" w:hint="default"/>
      <w:b/>
      <w:bCs/>
      <w:color w:val="FFB700"/>
      <w:sz w:val="18"/>
      <w:szCs w:val="18"/>
    </w:rPr>
  </w:style>
  <w:style w:type="character" w:customStyle="1" w:styleId="textdimorange">
    <w:name w:val="textdimorange"/>
    <w:rsid w:val="009B15BE"/>
    <w:rPr>
      <w:rFonts w:ascii="Arial" w:hAnsi="Arial" w:cs="Arial" w:hint="default"/>
      <w:b w:val="0"/>
      <w:bCs w:val="0"/>
      <w:i/>
      <w:iCs/>
      <w:color w:val="FFB700"/>
      <w:sz w:val="18"/>
      <w:szCs w:val="18"/>
    </w:rPr>
  </w:style>
  <w:style w:type="character" w:customStyle="1" w:styleId="year">
    <w:name w:val="year"/>
    <w:rsid w:val="009B15BE"/>
    <w:rPr>
      <w:rFonts w:ascii="Arial" w:hAnsi="Arial" w:cs="Arial" w:hint="default"/>
      <w:b/>
      <w:bCs/>
      <w:color w:val="333333"/>
      <w:sz w:val="18"/>
      <w:szCs w:val="18"/>
    </w:rPr>
  </w:style>
  <w:style w:type="character" w:customStyle="1" w:styleId="footnote">
    <w:name w:val="footnote"/>
    <w:rsid w:val="009B15BE"/>
    <w:rPr>
      <w:rFonts w:ascii="Arial" w:hAnsi="Arial" w:cs="Arial" w:hint="default"/>
      <w:color w:val="333333"/>
      <w:sz w:val="16"/>
      <w:szCs w:val="16"/>
    </w:rPr>
  </w:style>
  <w:style w:type="character" w:customStyle="1" w:styleId="footnoteyellow">
    <w:name w:val="footnoteyellow"/>
    <w:rsid w:val="009B15BE"/>
    <w:rPr>
      <w:b/>
      <w:bCs/>
      <w:color w:val="FFFF00"/>
      <w:shd w:val="clear" w:color="auto" w:fill="003399"/>
    </w:rPr>
  </w:style>
  <w:style w:type="character" w:customStyle="1" w:styleId="footnoteorange">
    <w:name w:val="footnoteorange"/>
    <w:rsid w:val="009B15BE"/>
    <w:rPr>
      <w:b/>
      <w:bCs/>
      <w:color w:val="FFD699"/>
      <w:shd w:val="clear" w:color="auto" w:fill="003399"/>
    </w:rPr>
  </w:style>
  <w:style w:type="character" w:customStyle="1" w:styleId="footnotedim">
    <w:name w:val="footnotedim"/>
    <w:rsid w:val="009B15BE"/>
    <w:rPr>
      <w:b w:val="0"/>
      <w:bCs w:val="0"/>
      <w:i/>
      <w:iCs/>
      <w:color w:val="FFFFFF"/>
      <w:shd w:val="clear" w:color="auto" w:fill="003399"/>
    </w:rPr>
  </w:style>
  <w:style w:type="character" w:customStyle="1" w:styleId="footnotedimorange">
    <w:name w:val="footnotedimorange"/>
    <w:rsid w:val="009B15BE"/>
    <w:rPr>
      <w:b w:val="0"/>
      <w:bCs w:val="0"/>
      <w:i/>
      <w:iCs/>
      <w:color w:val="FFD699"/>
      <w:shd w:val="clear" w:color="auto" w:fill="003399"/>
    </w:rPr>
  </w:style>
  <w:style w:type="paragraph" w:styleId="FootnoteText">
    <w:name w:val="footnote text"/>
    <w:basedOn w:val="Normal"/>
    <w:link w:val="FootnoteTextChar"/>
    <w:rsid w:val="009B15BE"/>
    <w:rPr>
      <w:sz w:val="20"/>
      <w:szCs w:val="20"/>
      <w:lang w:val="x-none" w:eastAsia="x-none"/>
    </w:rPr>
  </w:style>
  <w:style w:type="character" w:customStyle="1" w:styleId="FootnoteTextChar">
    <w:name w:val="Footnote Text Char"/>
    <w:link w:val="FootnoteText"/>
    <w:rsid w:val="009B15BE"/>
    <w:rPr>
      <w:rFonts w:ascii="Calibri" w:eastAsia="Times New Roman" w:hAnsi="Calibri" w:cs="Times New Roman"/>
      <w:sz w:val="20"/>
      <w:szCs w:val="20"/>
      <w:lang w:bidi="ar-SA"/>
    </w:rPr>
  </w:style>
  <w:style w:type="character" w:styleId="FootnoteReference">
    <w:name w:val="footnote reference"/>
    <w:rsid w:val="009B15BE"/>
    <w:rPr>
      <w:rFonts w:cs="Times New Roman"/>
      <w:vertAlign w:val="superscript"/>
    </w:rPr>
  </w:style>
  <w:style w:type="paragraph" w:customStyle="1" w:styleId="Table">
    <w:name w:val="Table"/>
    <w:basedOn w:val="Normal"/>
    <w:next w:val="Normal"/>
    <w:link w:val="TableChar"/>
    <w:rsid w:val="009B15BE"/>
    <w:pPr>
      <w:spacing w:after="0" w:line="240" w:lineRule="auto"/>
      <w:jc w:val="left"/>
    </w:pPr>
    <w:rPr>
      <w:rFonts w:ascii="Times New Roman" w:hAnsi="Times New Roman"/>
      <w:b/>
      <w:sz w:val="23"/>
      <w:szCs w:val="20"/>
      <w:lang w:val="x-none" w:eastAsia="x-none"/>
    </w:rPr>
  </w:style>
  <w:style w:type="character" w:customStyle="1" w:styleId="TableChar">
    <w:name w:val="Table Char"/>
    <w:link w:val="Table"/>
    <w:rsid w:val="009B15BE"/>
    <w:rPr>
      <w:rFonts w:ascii="Times New Roman" w:eastAsia="Times New Roman" w:hAnsi="Times New Roman" w:cs="Times New Roman"/>
      <w:b/>
      <w:sz w:val="23"/>
      <w:lang w:bidi="ar-SA"/>
    </w:rPr>
  </w:style>
  <w:style w:type="paragraph" w:customStyle="1" w:styleId="Policy">
    <w:name w:val="Policy"/>
    <w:basedOn w:val="Normal"/>
    <w:link w:val="PolicyChar"/>
    <w:qFormat/>
    <w:rsid w:val="001A51A0"/>
    <w:pPr>
      <w:tabs>
        <w:tab w:val="left" w:pos="720"/>
      </w:tabs>
      <w:spacing w:after="240" w:line="240" w:lineRule="auto"/>
      <w:ind w:left="720"/>
    </w:pPr>
    <w:rPr>
      <w:bCs/>
      <w:szCs w:val="24"/>
    </w:rPr>
  </w:style>
  <w:style w:type="paragraph" w:customStyle="1" w:styleId="Action">
    <w:name w:val="Action"/>
    <w:qFormat/>
    <w:rsid w:val="00EC157B"/>
    <w:pPr>
      <w:spacing w:after="200"/>
      <w:ind w:left="1166"/>
    </w:pPr>
    <w:rPr>
      <w:bCs/>
      <w:i/>
      <w:sz w:val="22"/>
      <w:szCs w:val="24"/>
    </w:rPr>
  </w:style>
  <w:style w:type="paragraph" w:customStyle="1" w:styleId="ColorfulList-Accent11">
    <w:name w:val="Colorful List - Accent 11"/>
    <w:basedOn w:val="Normal"/>
    <w:uiPriority w:val="34"/>
    <w:qFormat/>
    <w:rsid w:val="000C108F"/>
    <w:pPr>
      <w:ind w:left="1080" w:hanging="360"/>
      <w:contextualSpacing/>
    </w:pPr>
  </w:style>
  <w:style w:type="paragraph" w:customStyle="1" w:styleId="Objective">
    <w:name w:val="Objective"/>
    <w:basedOn w:val="Normal"/>
    <w:qFormat/>
    <w:rsid w:val="00A163DF"/>
    <w:pPr>
      <w:tabs>
        <w:tab w:val="left" w:pos="3870"/>
      </w:tabs>
      <w:spacing w:before="40" w:line="240" w:lineRule="auto"/>
      <w:ind w:left="1627" w:hanging="1627"/>
      <w:jc w:val="left"/>
    </w:pPr>
    <w:rPr>
      <w:rFonts w:eastAsia="Cambria"/>
      <w:b/>
      <w:i/>
      <w:color w:val="632423"/>
    </w:rPr>
  </w:style>
  <w:style w:type="paragraph" w:customStyle="1" w:styleId="ColusaGoal">
    <w:name w:val="ColusaGoal"/>
    <w:basedOn w:val="Normal"/>
    <w:qFormat/>
    <w:rsid w:val="00A163DF"/>
    <w:pPr>
      <w:spacing w:before="120" w:after="120" w:line="276" w:lineRule="auto"/>
      <w:ind w:left="1530" w:hanging="1530"/>
      <w:jc w:val="left"/>
    </w:pPr>
    <w:rPr>
      <w:rFonts w:ascii="Palatino Linotype" w:eastAsia="Cambria" w:hAnsi="Palatino Linotype" w:cs="Courier"/>
      <w:b/>
      <w:color w:val="632423"/>
    </w:rPr>
  </w:style>
  <w:style w:type="character" w:customStyle="1" w:styleId="PolicyChar">
    <w:name w:val="Policy Char"/>
    <w:link w:val="Policy"/>
    <w:rsid w:val="00743381"/>
    <w:rPr>
      <w:bC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List Bullet" w:uiPriority="99" w:qFormat="1"/>
    <w:lsdException w:name="List Number" w:uiPriority="99"/>
    <w:lsdException w:name="List Bullet 2" w:uiPriority="99" w:qFormat="1"/>
    <w:lsdException w:name="List Bullet 3" w:uiPriority="99" w:qFormat="1"/>
    <w:lsdException w:name="List Number 2" w:uiPriority="99"/>
    <w:lsdException w:name="List Number 3" w:uiPriority="99"/>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Table Grid" w:uiPriority="1"/>
    <w:lsdException w:name="No Spacing" w:qFormat="1"/>
    <w:lsdException w:name="Medium Grid 2" w:uiPriority="1" w:qFormat="1"/>
    <w:lsdException w:name="List Paragraph" w:uiPriority="34" w:qFormat="1"/>
    <w:lsdException w:name="Quote" w:qFormat="1"/>
    <w:lsdException w:name="Intense Quote" w:qFormat="1"/>
    <w:lsdException w:name="Colorful List Accent 1" w:uiPriority="34" w:qFormat="1"/>
    <w:lsdException w:name="Colorful Grid Accent 1" w:uiPriority="2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6D27"/>
    <w:pPr>
      <w:spacing w:after="200" w:line="264" w:lineRule="auto"/>
      <w:jc w:val="both"/>
    </w:pPr>
    <w:rPr>
      <w:sz w:val="22"/>
      <w:szCs w:val="22"/>
    </w:rPr>
  </w:style>
  <w:style w:type="paragraph" w:styleId="Heading1">
    <w:name w:val="heading 1"/>
    <w:basedOn w:val="Normal"/>
    <w:next w:val="Normal"/>
    <w:link w:val="Heading1Char"/>
    <w:uiPriority w:val="9"/>
    <w:qFormat/>
    <w:rsid w:val="00136D27"/>
    <w:pPr>
      <w:spacing w:before="300" w:after="40"/>
      <w:jc w:val="left"/>
      <w:outlineLvl w:val="0"/>
    </w:pPr>
    <w:rPr>
      <w:rFonts w:ascii="Cambria" w:hAnsi="Cambria"/>
      <w:smallCaps/>
      <w:spacing w:val="5"/>
      <w:sz w:val="36"/>
      <w:szCs w:val="36"/>
      <w:lang w:val="x-none" w:eastAsia="x-none"/>
    </w:rPr>
  </w:style>
  <w:style w:type="paragraph" w:styleId="Heading2">
    <w:name w:val="heading 2"/>
    <w:basedOn w:val="Normal"/>
    <w:next w:val="Normal"/>
    <w:link w:val="Heading2Char"/>
    <w:uiPriority w:val="9"/>
    <w:qFormat/>
    <w:rsid w:val="00136D27"/>
    <w:pPr>
      <w:spacing w:before="240" w:after="80"/>
      <w:jc w:val="left"/>
      <w:outlineLvl w:val="1"/>
    </w:pPr>
    <w:rPr>
      <w:rFonts w:ascii="Cambria" w:hAnsi="Cambria"/>
      <w:smallCaps/>
      <w:spacing w:val="5"/>
      <w:sz w:val="32"/>
      <w:szCs w:val="32"/>
      <w:lang w:val="x-none" w:eastAsia="x-none"/>
    </w:rPr>
  </w:style>
  <w:style w:type="paragraph" w:styleId="Heading3">
    <w:name w:val="heading 3"/>
    <w:basedOn w:val="Normal"/>
    <w:next w:val="Normal"/>
    <w:link w:val="Heading3Char"/>
    <w:uiPriority w:val="9"/>
    <w:qFormat/>
    <w:rsid w:val="00877B93"/>
    <w:pPr>
      <w:keepNext/>
      <w:pBdr>
        <w:bottom w:val="single" w:sz="4" w:space="1" w:color="auto"/>
      </w:pBdr>
      <w:spacing w:after="60"/>
      <w:jc w:val="left"/>
      <w:outlineLvl w:val="2"/>
    </w:pPr>
    <w:rPr>
      <w:rFonts w:ascii="Cambria" w:hAnsi="Cambria"/>
      <w:smallCaps/>
      <w:spacing w:val="20"/>
      <w:sz w:val="30"/>
      <w:szCs w:val="30"/>
      <w:lang w:val="x-none" w:eastAsia="x-none"/>
    </w:rPr>
  </w:style>
  <w:style w:type="paragraph" w:styleId="Heading4">
    <w:name w:val="heading 4"/>
    <w:basedOn w:val="Normal"/>
    <w:next w:val="Normal"/>
    <w:link w:val="Heading4Char"/>
    <w:uiPriority w:val="9"/>
    <w:qFormat/>
    <w:rsid w:val="00877B93"/>
    <w:pPr>
      <w:keepNext/>
      <w:spacing w:before="240" w:after="60"/>
      <w:jc w:val="left"/>
      <w:outlineLvl w:val="3"/>
    </w:pPr>
    <w:rPr>
      <w:rFonts w:ascii="Cambria" w:hAnsi="Cambria"/>
      <w:b/>
      <w:sz w:val="26"/>
      <w:szCs w:val="26"/>
      <w:lang w:val="x-none" w:eastAsia="x-none"/>
    </w:rPr>
  </w:style>
  <w:style w:type="paragraph" w:styleId="Heading5">
    <w:name w:val="heading 5"/>
    <w:basedOn w:val="Normal"/>
    <w:next w:val="Normal"/>
    <w:link w:val="Heading5Char"/>
    <w:uiPriority w:val="9"/>
    <w:qFormat/>
    <w:rsid w:val="00A76537"/>
    <w:pPr>
      <w:keepNext/>
      <w:outlineLvl w:val="4"/>
    </w:pPr>
    <w:rPr>
      <w:rFonts w:ascii="Cambria" w:hAnsi="Cambria"/>
      <w:smallCaps/>
      <w:sz w:val="20"/>
      <w:lang w:val="x-none" w:eastAsia="x-none"/>
    </w:rPr>
  </w:style>
  <w:style w:type="paragraph" w:styleId="Heading6">
    <w:name w:val="heading 6"/>
    <w:basedOn w:val="Normal"/>
    <w:next w:val="Normal"/>
    <w:link w:val="Heading6Char"/>
    <w:uiPriority w:val="9"/>
    <w:qFormat/>
    <w:rsid w:val="00136D27"/>
    <w:pPr>
      <w:spacing w:after="0"/>
      <w:jc w:val="left"/>
      <w:outlineLvl w:val="5"/>
    </w:pPr>
    <w:rPr>
      <w:rFonts w:ascii="Cambria" w:hAnsi="Cambria"/>
      <w:b/>
      <w:i/>
      <w:color w:val="000000"/>
      <w:spacing w:val="5"/>
      <w:lang w:val="x-none" w:eastAsia="x-none"/>
    </w:rPr>
  </w:style>
  <w:style w:type="paragraph" w:styleId="Heading7">
    <w:name w:val="heading 7"/>
    <w:aliases w:val="Table Title"/>
    <w:basedOn w:val="Normal"/>
    <w:next w:val="Normal"/>
    <w:link w:val="Heading7Char"/>
    <w:uiPriority w:val="9"/>
    <w:qFormat/>
    <w:rsid w:val="00136D27"/>
    <w:pPr>
      <w:spacing w:after="0"/>
      <w:jc w:val="left"/>
      <w:outlineLvl w:val="6"/>
    </w:pPr>
    <w:rPr>
      <w:b/>
      <w:i/>
      <w:smallCaps/>
      <w:color w:val="000000"/>
      <w:spacing w:val="2"/>
      <w:lang w:val="x-none" w:eastAsia="x-none"/>
    </w:rPr>
  </w:style>
  <w:style w:type="paragraph" w:styleId="Heading8">
    <w:name w:val="heading 8"/>
    <w:aliases w:val="Heading 8 - Table Heading Row"/>
    <w:basedOn w:val="Heading5"/>
    <w:next w:val="Normal"/>
    <w:link w:val="Heading8Char"/>
    <w:uiPriority w:val="9"/>
    <w:qFormat/>
    <w:rsid w:val="00136D27"/>
    <w:pPr>
      <w:spacing w:after="0"/>
      <w:jc w:val="left"/>
      <w:outlineLvl w:val="7"/>
    </w:pPr>
  </w:style>
  <w:style w:type="paragraph" w:styleId="Heading9">
    <w:name w:val="heading 9"/>
    <w:basedOn w:val="Normal"/>
    <w:next w:val="Normal"/>
    <w:link w:val="Heading9Char"/>
    <w:uiPriority w:val="9"/>
    <w:qFormat/>
    <w:rsid w:val="00136D27"/>
    <w:pPr>
      <w:spacing w:after="0"/>
      <w:jc w:val="left"/>
      <w:outlineLvl w:val="8"/>
    </w:pPr>
    <w:rPr>
      <w:b/>
      <w:i/>
      <w:color w:val="7F7F7F"/>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F10C1"/>
    <w:rPr>
      <w:rFonts w:ascii="Cambria" w:eastAsia="Times New Roman" w:hAnsi="Cambria" w:cs="Times New Roman"/>
      <w:smallCaps/>
      <w:spacing w:val="5"/>
      <w:sz w:val="36"/>
      <w:szCs w:val="36"/>
      <w:lang w:bidi="ar-SA"/>
    </w:rPr>
  </w:style>
  <w:style w:type="character" w:customStyle="1" w:styleId="Heading2Char">
    <w:name w:val="Heading 2 Char"/>
    <w:link w:val="Heading2"/>
    <w:uiPriority w:val="9"/>
    <w:rsid w:val="00477926"/>
    <w:rPr>
      <w:rFonts w:ascii="Cambria" w:eastAsia="Times New Roman" w:hAnsi="Cambria" w:cs="Times New Roman"/>
      <w:smallCaps/>
      <w:spacing w:val="5"/>
      <w:sz w:val="32"/>
      <w:szCs w:val="32"/>
      <w:lang w:bidi="ar-SA"/>
    </w:rPr>
  </w:style>
  <w:style w:type="character" w:customStyle="1" w:styleId="Heading3Char">
    <w:name w:val="Heading 3 Char"/>
    <w:link w:val="Heading3"/>
    <w:uiPriority w:val="9"/>
    <w:rsid w:val="00350F4A"/>
    <w:rPr>
      <w:rFonts w:ascii="Cambria" w:eastAsia="Times New Roman" w:hAnsi="Cambria" w:cs="Times New Roman"/>
      <w:smallCaps/>
      <w:spacing w:val="20"/>
      <w:sz w:val="30"/>
      <w:szCs w:val="30"/>
      <w:lang w:bidi="ar-SA"/>
    </w:rPr>
  </w:style>
  <w:style w:type="character" w:customStyle="1" w:styleId="Heading4Char">
    <w:name w:val="Heading 4 Char"/>
    <w:link w:val="Heading4"/>
    <w:uiPriority w:val="9"/>
    <w:rsid w:val="00477926"/>
    <w:rPr>
      <w:rFonts w:ascii="Cambria" w:eastAsia="Times New Roman" w:hAnsi="Cambria" w:cs="Times New Roman"/>
      <w:b/>
      <w:sz w:val="26"/>
      <w:szCs w:val="26"/>
      <w:lang w:bidi="ar-SA"/>
    </w:rPr>
  </w:style>
  <w:style w:type="character" w:customStyle="1" w:styleId="Heading5Char">
    <w:name w:val="Heading 5 Char"/>
    <w:link w:val="Heading5"/>
    <w:uiPriority w:val="9"/>
    <w:rsid w:val="00BF10C1"/>
    <w:rPr>
      <w:rFonts w:ascii="Cambria" w:eastAsia="Times New Roman" w:hAnsi="Cambria" w:cs="Times New Roman"/>
      <w:smallCaps/>
      <w:szCs w:val="22"/>
      <w:lang w:bidi="ar-SA"/>
    </w:rPr>
  </w:style>
  <w:style w:type="character" w:customStyle="1" w:styleId="Heading6Char">
    <w:name w:val="Heading 6 Char"/>
    <w:link w:val="Heading6"/>
    <w:uiPriority w:val="9"/>
    <w:rsid w:val="00350F4A"/>
    <w:rPr>
      <w:rFonts w:ascii="Cambria" w:eastAsia="Times New Roman" w:hAnsi="Cambria" w:cs="Times New Roman"/>
      <w:b/>
      <w:i/>
      <w:color w:val="000000"/>
      <w:spacing w:val="5"/>
      <w:sz w:val="22"/>
      <w:szCs w:val="22"/>
      <w:lang w:bidi="ar-SA"/>
    </w:rPr>
  </w:style>
  <w:style w:type="character" w:customStyle="1" w:styleId="Heading7Char">
    <w:name w:val="Heading 7 Char"/>
    <w:aliases w:val="Table Title Char"/>
    <w:link w:val="Heading7"/>
    <w:uiPriority w:val="9"/>
    <w:rsid w:val="00477926"/>
    <w:rPr>
      <w:rFonts w:ascii="Calibri" w:eastAsia="Times New Roman" w:hAnsi="Calibri" w:cs="Times New Roman"/>
      <w:b/>
      <w:i/>
      <w:smallCaps/>
      <w:color w:val="000000"/>
      <w:spacing w:val="2"/>
      <w:sz w:val="22"/>
      <w:szCs w:val="22"/>
      <w:lang w:bidi="ar-SA"/>
    </w:rPr>
  </w:style>
  <w:style w:type="character" w:customStyle="1" w:styleId="Heading8Char">
    <w:name w:val="Heading 8 Char"/>
    <w:aliases w:val="Heading 8 - Table Heading Row Char"/>
    <w:link w:val="Heading8"/>
    <w:uiPriority w:val="9"/>
    <w:rsid w:val="00477926"/>
    <w:rPr>
      <w:rFonts w:ascii="Cambria" w:eastAsia="Times New Roman" w:hAnsi="Cambria" w:cs="Times New Roman"/>
      <w:smallCaps/>
      <w:sz w:val="20"/>
      <w:szCs w:val="22"/>
      <w:lang w:bidi="ar-SA"/>
    </w:rPr>
  </w:style>
  <w:style w:type="character" w:customStyle="1" w:styleId="Heading9Char">
    <w:name w:val="Heading 9 Char"/>
    <w:link w:val="Heading9"/>
    <w:uiPriority w:val="9"/>
    <w:rsid w:val="00477926"/>
    <w:rPr>
      <w:rFonts w:ascii="Calibri" w:eastAsia="Times New Roman" w:hAnsi="Calibri" w:cs="Times New Roman"/>
      <w:b/>
      <w:i/>
      <w:color w:val="7F7F7F"/>
      <w:sz w:val="22"/>
      <w:szCs w:val="22"/>
      <w:lang w:bidi="ar-SA"/>
    </w:rPr>
  </w:style>
  <w:style w:type="paragraph" w:styleId="BalloonText">
    <w:name w:val="Balloon Text"/>
    <w:basedOn w:val="Normal"/>
    <w:link w:val="BalloonTextChar"/>
    <w:uiPriority w:val="99"/>
    <w:unhideWhenUsed/>
    <w:rsid w:val="00136D27"/>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rsid w:val="00136D27"/>
    <w:rPr>
      <w:rFonts w:ascii="Tahoma" w:eastAsia="Times New Roman" w:hAnsi="Tahoma" w:cs="Tahoma"/>
      <w:sz w:val="16"/>
      <w:szCs w:val="16"/>
      <w:lang w:bidi="ar-SA"/>
    </w:rPr>
  </w:style>
  <w:style w:type="paragraph" w:customStyle="1" w:styleId="ColorfulGrid-Accent11">
    <w:name w:val="Colorful Grid - Accent 11"/>
    <w:basedOn w:val="Normal"/>
    <w:next w:val="Normal"/>
    <w:uiPriority w:val="29"/>
    <w:qFormat/>
    <w:rsid w:val="00136D27"/>
    <w:pPr>
      <w:spacing w:after="160"/>
      <w:ind w:left="2160"/>
    </w:pPr>
    <w:rPr>
      <w:i/>
      <w:iCs/>
      <w:color w:val="0F243E"/>
      <w:szCs w:val="20"/>
      <w:lang w:bidi="en-US"/>
    </w:rPr>
  </w:style>
  <w:style w:type="character" w:styleId="Emphasis">
    <w:name w:val="Emphasis"/>
    <w:uiPriority w:val="20"/>
    <w:qFormat/>
    <w:rsid w:val="00136D27"/>
    <w:rPr>
      <w:i/>
      <w:iCs/>
    </w:rPr>
  </w:style>
  <w:style w:type="paragraph" w:styleId="Footer">
    <w:name w:val="footer"/>
    <w:basedOn w:val="Normal"/>
    <w:link w:val="FooterChar"/>
    <w:uiPriority w:val="99"/>
    <w:unhideWhenUsed/>
    <w:rsid w:val="00136D27"/>
    <w:pPr>
      <w:tabs>
        <w:tab w:val="center" w:pos="4680"/>
        <w:tab w:val="right" w:pos="9360"/>
      </w:tabs>
      <w:spacing w:after="0" w:line="240" w:lineRule="auto"/>
    </w:pPr>
    <w:rPr>
      <w:lang w:val="x-none" w:eastAsia="x-none"/>
    </w:rPr>
  </w:style>
  <w:style w:type="character" w:customStyle="1" w:styleId="FooterChar">
    <w:name w:val="Footer Char"/>
    <w:link w:val="Footer"/>
    <w:uiPriority w:val="99"/>
    <w:rsid w:val="00136D27"/>
    <w:rPr>
      <w:rFonts w:ascii="Calibri" w:eastAsia="Times New Roman" w:hAnsi="Calibri" w:cs="Times New Roman"/>
      <w:sz w:val="22"/>
      <w:szCs w:val="22"/>
      <w:lang w:bidi="ar-SA"/>
    </w:rPr>
  </w:style>
  <w:style w:type="paragraph" w:styleId="Header">
    <w:name w:val="header"/>
    <w:aliases w:val="First Page"/>
    <w:basedOn w:val="Heading1"/>
    <w:link w:val="HeaderChar"/>
    <w:uiPriority w:val="99"/>
    <w:unhideWhenUsed/>
    <w:rsid w:val="00136D27"/>
    <w:pPr>
      <w:tabs>
        <w:tab w:val="center" w:pos="4680"/>
        <w:tab w:val="right" w:pos="9360"/>
      </w:tabs>
      <w:spacing w:before="120" w:after="0" w:line="240" w:lineRule="auto"/>
    </w:pPr>
  </w:style>
  <w:style w:type="character" w:customStyle="1" w:styleId="HeaderChar">
    <w:name w:val="Header Char"/>
    <w:aliases w:val="First Page Char"/>
    <w:link w:val="Header"/>
    <w:uiPriority w:val="99"/>
    <w:rsid w:val="00136D27"/>
    <w:rPr>
      <w:rFonts w:ascii="Cambria" w:eastAsia="Times New Roman" w:hAnsi="Cambria" w:cs="Times New Roman"/>
      <w:smallCaps/>
      <w:spacing w:val="5"/>
      <w:sz w:val="36"/>
      <w:szCs w:val="36"/>
      <w:lang w:bidi="ar-SA"/>
    </w:rPr>
  </w:style>
  <w:style w:type="paragraph" w:customStyle="1" w:styleId="Header-EvenPage">
    <w:name w:val="Header - Even Page"/>
    <w:basedOn w:val="Header"/>
    <w:qFormat/>
    <w:rsid w:val="00136D27"/>
    <w:rPr>
      <w:sz w:val="32"/>
    </w:rPr>
  </w:style>
  <w:style w:type="character" w:styleId="Hyperlink">
    <w:name w:val="Hyperlink"/>
    <w:uiPriority w:val="99"/>
    <w:unhideWhenUsed/>
    <w:rsid w:val="00136D27"/>
    <w:rPr>
      <w:color w:val="0000FF"/>
      <w:u w:val="single"/>
    </w:rPr>
  </w:style>
  <w:style w:type="character" w:customStyle="1" w:styleId="Impact-MMChar">
    <w:name w:val="Impact-MM Char"/>
    <w:rsid w:val="00136D27"/>
    <w:rPr>
      <w:rFonts w:ascii="Century Gothic" w:hAnsi="Century Gothic"/>
      <w:bCs/>
      <w:szCs w:val="24"/>
      <w:lang w:val="en-US" w:eastAsia="en-US" w:bidi="ar-SA"/>
    </w:rPr>
  </w:style>
  <w:style w:type="paragraph" w:styleId="ListBullet">
    <w:name w:val="List Bullet"/>
    <w:basedOn w:val="Normal"/>
    <w:uiPriority w:val="99"/>
    <w:unhideWhenUsed/>
    <w:qFormat/>
    <w:rsid w:val="00136D27"/>
    <w:pPr>
      <w:numPr>
        <w:numId w:val="2"/>
      </w:numPr>
      <w:contextualSpacing/>
    </w:pPr>
  </w:style>
  <w:style w:type="paragraph" w:styleId="ListBullet2">
    <w:name w:val="List Bullet 2"/>
    <w:basedOn w:val="Normal"/>
    <w:uiPriority w:val="99"/>
    <w:unhideWhenUsed/>
    <w:qFormat/>
    <w:rsid w:val="00136D27"/>
    <w:pPr>
      <w:numPr>
        <w:numId w:val="3"/>
      </w:numPr>
      <w:contextualSpacing/>
    </w:pPr>
  </w:style>
  <w:style w:type="paragraph" w:styleId="ListBullet3">
    <w:name w:val="List Bullet 3"/>
    <w:basedOn w:val="Normal"/>
    <w:uiPriority w:val="99"/>
    <w:unhideWhenUsed/>
    <w:qFormat/>
    <w:rsid w:val="00136D27"/>
    <w:pPr>
      <w:tabs>
        <w:tab w:val="num" w:pos="1080"/>
      </w:tabs>
      <w:ind w:left="1080" w:hanging="360"/>
      <w:contextualSpacing/>
    </w:pPr>
  </w:style>
  <w:style w:type="paragraph" w:styleId="ListNumber">
    <w:name w:val="List Number"/>
    <w:basedOn w:val="Normal"/>
    <w:uiPriority w:val="99"/>
    <w:unhideWhenUsed/>
    <w:rsid w:val="00136D27"/>
    <w:pPr>
      <w:tabs>
        <w:tab w:val="num" w:pos="360"/>
      </w:tabs>
      <w:ind w:left="360" w:hanging="360"/>
      <w:contextualSpacing/>
    </w:pPr>
  </w:style>
  <w:style w:type="paragraph" w:styleId="ListNumber2">
    <w:name w:val="List Number 2"/>
    <w:basedOn w:val="Normal"/>
    <w:uiPriority w:val="99"/>
    <w:unhideWhenUsed/>
    <w:rsid w:val="00136D27"/>
    <w:pPr>
      <w:tabs>
        <w:tab w:val="num" w:pos="720"/>
      </w:tabs>
      <w:ind w:left="720" w:hanging="360"/>
      <w:contextualSpacing/>
    </w:pPr>
  </w:style>
  <w:style w:type="paragraph" w:styleId="ListNumber3">
    <w:name w:val="List Number 3"/>
    <w:basedOn w:val="Normal"/>
    <w:uiPriority w:val="99"/>
    <w:unhideWhenUsed/>
    <w:rsid w:val="00136D27"/>
    <w:pPr>
      <w:tabs>
        <w:tab w:val="num" w:pos="1080"/>
      </w:tabs>
      <w:ind w:left="1080" w:hanging="360"/>
      <w:contextualSpacing/>
    </w:pPr>
  </w:style>
  <w:style w:type="paragraph" w:customStyle="1" w:styleId="MediumGrid1-Accent21">
    <w:name w:val="Medium Grid 1 - Accent 21"/>
    <w:basedOn w:val="Normal"/>
    <w:uiPriority w:val="34"/>
    <w:qFormat/>
    <w:rsid w:val="00136D27"/>
    <w:pPr>
      <w:ind w:left="1080" w:hanging="360"/>
      <w:contextualSpacing/>
    </w:pPr>
  </w:style>
  <w:style w:type="paragraph" w:customStyle="1" w:styleId="MediumShading1-Accent11">
    <w:name w:val="Medium Shading 1 - Accent 11"/>
    <w:uiPriority w:val="1"/>
    <w:qFormat/>
    <w:rsid w:val="00136D27"/>
    <w:pPr>
      <w:jc w:val="both"/>
    </w:pPr>
    <w:rPr>
      <w:sz w:val="22"/>
      <w:szCs w:val="22"/>
    </w:rPr>
  </w:style>
  <w:style w:type="paragraph" w:styleId="NormalWeb">
    <w:name w:val="Normal (Web)"/>
    <w:basedOn w:val="Normal"/>
    <w:uiPriority w:val="99"/>
    <w:unhideWhenUsed/>
    <w:rsid w:val="00136D27"/>
    <w:pPr>
      <w:spacing w:before="168" w:after="216" w:line="240" w:lineRule="auto"/>
      <w:jc w:val="left"/>
    </w:pPr>
    <w:rPr>
      <w:rFonts w:ascii="Times New Roman" w:hAnsi="Times New Roman"/>
      <w:sz w:val="24"/>
      <w:szCs w:val="24"/>
    </w:rPr>
  </w:style>
  <w:style w:type="paragraph" w:customStyle="1" w:styleId="MediumGrid2-Accent21">
    <w:name w:val="Medium Grid 2 - Accent 21"/>
    <w:basedOn w:val="Normal"/>
    <w:next w:val="Normal"/>
    <w:link w:val="MediumGrid2-Accent2Char"/>
    <w:uiPriority w:val="29"/>
    <w:rsid w:val="00136D27"/>
    <w:rPr>
      <w:i/>
      <w:lang w:val="x-none" w:eastAsia="x-none"/>
    </w:rPr>
  </w:style>
  <w:style w:type="character" w:customStyle="1" w:styleId="MediumGrid2-Accent2Char">
    <w:name w:val="Medium Grid 2 - Accent 2 Char"/>
    <w:link w:val="MediumGrid2-Accent21"/>
    <w:uiPriority w:val="29"/>
    <w:rsid w:val="00136D27"/>
    <w:rPr>
      <w:rFonts w:ascii="Calibri" w:eastAsia="Times New Roman" w:hAnsi="Calibri" w:cs="Times New Roman"/>
      <w:i/>
      <w:sz w:val="22"/>
      <w:szCs w:val="22"/>
      <w:lang w:bidi="ar-SA"/>
    </w:rPr>
  </w:style>
  <w:style w:type="paragraph" w:customStyle="1" w:styleId="Source">
    <w:name w:val="Source"/>
    <w:next w:val="Normal"/>
    <w:qFormat/>
    <w:rsid w:val="00136D27"/>
    <w:pPr>
      <w:spacing w:after="160" w:line="288" w:lineRule="auto"/>
      <w:ind w:left="90"/>
      <w:jc w:val="both"/>
    </w:pPr>
    <w:rPr>
      <w:i/>
      <w:iCs/>
      <w:smallCaps/>
      <w:lang w:bidi="en-US"/>
    </w:rPr>
  </w:style>
  <w:style w:type="character" w:customStyle="1" w:styleId="SubtleEmphasis1">
    <w:name w:val="Subtle Emphasis1"/>
    <w:uiPriority w:val="19"/>
    <w:qFormat/>
    <w:rsid w:val="00136D27"/>
    <w:rPr>
      <w:i/>
      <w:iCs/>
      <w:color w:val="808080"/>
    </w:rPr>
  </w:style>
  <w:style w:type="character" w:customStyle="1" w:styleId="SubtleEmphasis10">
    <w:name w:val="Subtle Emphasis1"/>
    <w:uiPriority w:val="19"/>
    <w:qFormat/>
    <w:rsid w:val="00136D27"/>
    <w:rPr>
      <w:smallCaps/>
      <w:dstrike w:val="0"/>
      <w:color w:val="5A5A5A"/>
      <w:vertAlign w:val="baseline"/>
    </w:rPr>
  </w:style>
  <w:style w:type="table" w:styleId="TableGrid">
    <w:name w:val="Table Grid"/>
    <w:basedOn w:val="TableNormal"/>
    <w:uiPriority w:val="1"/>
    <w:rsid w:val="00136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1"/>
    <w:rsid w:val="00136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ingRow">
    <w:name w:val="Table Heading Row"/>
    <w:basedOn w:val="Heading8"/>
    <w:qFormat/>
    <w:rsid w:val="00575714"/>
    <w:pPr>
      <w:shd w:val="clear" w:color="auto" w:fill="D9D9D9"/>
      <w:jc w:val="center"/>
    </w:pPr>
    <w:rPr>
      <w:i/>
    </w:rPr>
  </w:style>
  <w:style w:type="paragraph" w:customStyle="1" w:styleId="TableText">
    <w:name w:val="Table Text"/>
    <w:basedOn w:val="Normal"/>
    <w:rsid w:val="00136D27"/>
    <w:pPr>
      <w:spacing w:before="120" w:after="120" w:line="240" w:lineRule="auto"/>
    </w:pPr>
    <w:rPr>
      <w:rFonts w:ascii="Cambria" w:hAnsi="Cambria"/>
      <w:sz w:val="18"/>
      <w:szCs w:val="18"/>
    </w:rPr>
  </w:style>
  <w:style w:type="paragraph" w:customStyle="1" w:styleId="TextBox">
    <w:name w:val="Text Box"/>
    <w:basedOn w:val="Normal"/>
    <w:rsid w:val="00136D27"/>
    <w:pPr>
      <w:spacing w:after="0" w:line="240" w:lineRule="auto"/>
      <w:jc w:val="left"/>
    </w:pPr>
    <w:rPr>
      <w:rFonts w:ascii="Arial" w:hAnsi="Arial"/>
      <w:b/>
      <w:caps/>
      <w:spacing w:val="-3"/>
      <w:sz w:val="28"/>
    </w:rPr>
  </w:style>
  <w:style w:type="paragraph" w:customStyle="1" w:styleId="TOCHeading1">
    <w:name w:val="TOC Heading1"/>
    <w:basedOn w:val="Heading1"/>
    <w:next w:val="Normal"/>
    <w:uiPriority w:val="39"/>
    <w:unhideWhenUsed/>
    <w:qFormat/>
    <w:rsid w:val="00136D27"/>
    <w:pPr>
      <w:outlineLvl w:val="9"/>
    </w:pPr>
  </w:style>
  <w:style w:type="paragraph" w:customStyle="1" w:styleId="TOCHeading10">
    <w:name w:val="TOC Heading1"/>
    <w:basedOn w:val="Heading1"/>
    <w:next w:val="Normal"/>
    <w:uiPriority w:val="39"/>
    <w:unhideWhenUsed/>
    <w:qFormat/>
    <w:rsid w:val="00136D27"/>
  </w:style>
  <w:style w:type="paragraph" w:customStyle="1" w:styleId="MediumList2-Accent21">
    <w:name w:val="Medium List 2 - Accent 21"/>
    <w:hidden/>
    <w:rsid w:val="00BF1663"/>
    <w:rPr>
      <w:sz w:val="22"/>
      <w:szCs w:val="22"/>
    </w:rPr>
  </w:style>
  <w:style w:type="character" w:styleId="Strong">
    <w:name w:val="Strong"/>
    <w:uiPriority w:val="22"/>
    <w:qFormat/>
    <w:rsid w:val="00E4338C"/>
    <w:rPr>
      <w:b/>
      <w:bCs/>
    </w:rPr>
  </w:style>
  <w:style w:type="character" w:styleId="CommentReference">
    <w:name w:val="annotation reference"/>
    <w:uiPriority w:val="99"/>
    <w:rsid w:val="0068669B"/>
    <w:rPr>
      <w:sz w:val="16"/>
      <w:szCs w:val="16"/>
    </w:rPr>
  </w:style>
  <w:style w:type="paragraph" w:styleId="CommentText">
    <w:name w:val="annotation text"/>
    <w:basedOn w:val="Normal"/>
    <w:link w:val="CommentTextChar"/>
    <w:uiPriority w:val="99"/>
    <w:rsid w:val="0068669B"/>
    <w:pPr>
      <w:spacing w:line="240" w:lineRule="auto"/>
    </w:pPr>
    <w:rPr>
      <w:sz w:val="20"/>
      <w:szCs w:val="20"/>
      <w:lang w:val="x-none" w:eastAsia="x-none"/>
    </w:rPr>
  </w:style>
  <w:style w:type="character" w:customStyle="1" w:styleId="CommentTextChar">
    <w:name w:val="Comment Text Char"/>
    <w:link w:val="CommentText"/>
    <w:uiPriority w:val="99"/>
    <w:rsid w:val="0068669B"/>
    <w:rPr>
      <w:rFonts w:ascii="Calibri" w:eastAsia="Times New Roman" w:hAnsi="Calibri" w:cs="Times New Roman"/>
      <w:sz w:val="20"/>
      <w:szCs w:val="20"/>
      <w:lang w:bidi="ar-SA"/>
    </w:rPr>
  </w:style>
  <w:style w:type="paragraph" w:styleId="CommentSubject">
    <w:name w:val="annotation subject"/>
    <w:basedOn w:val="CommentText"/>
    <w:next w:val="CommentText"/>
    <w:link w:val="CommentSubjectChar"/>
    <w:rsid w:val="0068669B"/>
    <w:rPr>
      <w:b/>
      <w:bCs/>
    </w:rPr>
  </w:style>
  <w:style w:type="character" w:customStyle="1" w:styleId="CommentSubjectChar">
    <w:name w:val="Comment Subject Char"/>
    <w:link w:val="CommentSubject"/>
    <w:rsid w:val="0068669B"/>
    <w:rPr>
      <w:rFonts w:ascii="Calibri" w:eastAsia="Times New Roman" w:hAnsi="Calibri" w:cs="Times New Roman"/>
      <w:b/>
      <w:bCs/>
      <w:sz w:val="20"/>
      <w:szCs w:val="20"/>
      <w:lang w:bidi="ar-SA"/>
    </w:rPr>
  </w:style>
  <w:style w:type="paragraph" w:customStyle="1" w:styleId="Figure">
    <w:name w:val="Figure"/>
    <w:basedOn w:val="Normal"/>
    <w:link w:val="FigureChar"/>
    <w:qFormat/>
    <w:rsid w:val="00D216DE"/>
    <w:pPr>
      <w:keepNext/>
      <w:spacing w:after="260" w:line="240" w:lineRule="auto"/>
      <w:jc w:val="left"/>
    </w:pPr>
    <w:rPr>
      <w:rFonts w:ascii="Arial" w:hAnsi="Arial" w:cs="Arial"/>
      <w:b/>
      <w:bCs/>
      <w:szCs w:val="26"/>
      <w:lang w:val="x-none" w:eastAsia="x-none"/>
    </w:rPr>
  </w:style>
  <w:style w:type="character" w:customStyle="1" w:styleId="FigureChar">
    <w:name w:val="Figure Char"/>
    <w:link w:val="Figure"/>
    <w:rsid w:val="00D216DE"/>
    <w:rPr>
      <w:rFonts w:ascii="Arial" w:eastAsia="Times New Roman" w:hAnsi="Arial" w:cs="Arial"/>
      <w:b/>
      <w:bCs/>
      <w:sz w:val="22"/>
      <w:szCs w:val="26"/>
      <w:lang w:bidi="ar-SA"/>
    </w:rPr>
  </w:style>
  <w:style w:type="character" w:customStyle="1" w:styleId="textyellow">
    <w:name w:val="textyellow"/>
    <w:rsid w:val="006E2678"/>
    <w:rPr>
      <w:rFonts w:ascii="Arial" w:hAnsi="Arial" w:cs="Arial" w:hint="default"/>
      <w:b/>
      <w:bCs/>
      <w:color w:val="FFFF00"/>
      <w:sz w:val="18"/>
      <w:szCs w:val="18"/>
    </w:rPr>
  </w:style>
  <w:style w:type="character" w:customStyle="1" w:styleId="text">
    <w:name w:val="text"/>
    <w:rsid w:val="006E2678"/>
    <w:rPr>
      <w:rFonts w:ascii="Arial" w:hAnsi="Arial" w:cs="Arial" w:hint="default"/>
      <w:b/>
      <w:bCs/>
      <w:color w:val="FFFFFF"/>
      <w:sz w:val="18"/>
      <w:szCs w:val="18"/>
    </w:rPr>
  </w:style>
  <w:style w:type="paragraph" w:customStyle="1" w:styleId="FPSourceandNote">
    <w:name w:val="F&amp;P Source and Note"/>
    <w:basedOn w:val="Normal"/>
    <w:rsid w:val="00F01301"/>
    <w:pPr>
      <w:autoSpaceDE w:val="0"/>
      <w:autoSpaceDN w:val="0"/>
      <w:adjustRightInd w:val="0"/>
      <w:spacing w:before="60" w:after="60"/>
      <w:ind w:left="360" w:right="72" w:hanging="288"/>
    </w:pPr>
    <w:rPr>
      <w:rFonts w:ascii="Arial" w:hAnsi="Arial" w:cs="Arial"/>
      <w:color w:val="000000"/>
      <w:sz w:val="16"/>
      <w:szCs w:val="20"/>
    </w:rPr>
  </w:style>
  <w:style w:type="paragraph" w:customStyle="1" w:styleId="FPTableColumnHead">
    <w:name w:val="F&amp;P Table Column Head"/>
    <w:basedOn w:val="Normal"/>
    <w:link w:val="FPTableColumnHeadChar"/>
    <w:rsid w:val="00F01301"/>
    <w:pPr>
      <w:spacing w:before="40" w:after="40"/>
      <w:jc w:val="center"/>
    </w:pPr>
    <w:rPr>
      <w:rFonts w:ascii="Arial" w:hAnsi="Arial" w:cs="Arial"/>
      <w:b/>
      <w:bCs/>
      <w:color w:val="000000"/>
      <w:sz w:val="18"/>
      <w:szCs w:val="20"/>
      <w:lang w:val="x-none" w:eastAsia="x-none"/>
    </w:rPr>
  </w:style>
  <w:style w:type="character" w:customStyle="1" w:styleId="FPTableColumnHeadChar">
    <w:name w:val="F&amp;P Table Column Head Char"/>
    <w:link w:val="FPTableColumnHead"/>
    <w:rsid w:val="00F01301"/>
    <w:rPr>
      <w:rFonts w:ascii="Arial" w:eastAsia="Times New Roman" w:hAnsi="Arial" w:cs="Arial"/>
      <w:b/>
      <w:bCs/>
      <w:color w:val="000000"/>
      <w:sz w:val="18"/>
      <w:szCs w:val="20"/>
      <w:lang w:bidi="ar-SA"/>
    </w:rPr>
  </w:style>
  <w:style w:type="paragraph" w:customStyle="1" w:styleId="FPTableHeading">
    <w:name w:val="F&amp;P Table Heading"/>
    <w:basedOn w:val="Normal"/>
    <w:rsid w:val="00F01301"/>
    <w:pPr>
      <w:autoSpaceDE w:val="0"/>
      <w:autoSpaceDN w:val="0"/>
      <w:adjustRightInd w:val="0"/>
      <w:spacing w:before="200"/>
      <w:jc w:val="center"/>
    </w:pPr>
    <w:rPr>
      <w:rFonts w:ascii="Arial" w:hAnsi="Arial" w:cs="Arial"/>
      <w:b/>
      <w:bCs/>
      <w:caps/>
      <w:color w:val="000000"/>
      <w:sz w:val="18"/>
      <w:szCs w:val="20"/>
    </w:rPr>
  </w:style>
  <w:style w:type="paragraph" w:customStyle="1" w:styleId="FPTableText">
    <w:name w:val="F&amp;P Table Text"/>
    <w:basedOn w:val="Normal"/>
    <w:rsid w:val="00F01301"/>
    <w:pPr>
      <w:autoSpaceDE w:val="0"/>
      <w:autoSpaceDN w:val="0"/>
      <w:adjustRightInd w:val="0"/>
      <w:spacing w:before="40" w:after="40"/>
      <w:jc w:val="center"/>
    </w:pPr>
    <w:rPr>
      <w:rFonts w:ascii="Arial" w:hAnsi="Arial" w:cs="Arial"/>
      <w:color w:val="000000"/>
      <w:sz w:val="18"/>
      <w:szCs w:val="20"/>
    </w:rPr>
  </w:style>
  <w:style w:type="paragraph" w:customStyle="1" w:styleId="FPTableRowHeading">
    <w:name w:val="F&amp;P Table Row Heading"/>
    <w:basedOn w:val="FPTableText"/>
    <w:rsid w:val="00F01301"/>
  </w:style>
  <w:style w:type="character" w:customStyle="1" w:styleId="textdim">
    <w:name w:val="textdim"/>
    <w:rsid w:val="009B15BE"/>
    <w:rPr>
      <w:rFonts w:ascii="Arial" w:hAnsi="Arial" w:cs="Arial" w:hint="default"/>
      <w:b w:val="0"/>
      <w:bCs w:val="0"/>
      <w:i/>
      <w:iCs/>
      <w:color w:val="FFFFFF"/>
      <w:sz w:val="18"/>
      <w:szCs w:val="18"/>
    </w:rPr>
  </w:style>
  <w:style w:type="character" w:customStyle="1" w:styleId="textorange">
    <w:name w:val="textorange"/>
    <w:rsid w:val="009B15BE"/>
    <w:rPr>
      <w:rFonts w:ascii="Arial" w:hAnsi="Arial" w:cs="Arial" w:hint="default"/>
      <w:b/>
      <w:bCs/>
      <w:color w:val="FFB700"/>
      <w:sz w:val="18"/>
      <w:szCs w:val="18"/>
    </w:rPr>
  </w:style>
  <w:style w:type="character" w:customStyle="1" w:styleId="textdimorange">
    <w:name w:val="textdimorange"/>
    <w:rsid w:val="009B15BE"/>
    <w:rPr>
      <w:rFonts w:ascii="Arial" w:hAnsi="Arial" w:cs="Arial" w:hint="default"/>
      <w:b w:val="0"/>
      <w:bCs w:val="0"/>
      <w:i/>
      <w:iCs/>
      <w:color w:val="FFB700"/>
      <w:sz w:val="18"/>
      <w:szCs w:val="18"/>
    </w:rPr>
  </w:style>
  <w:style w:type="character" w:customStyle="1" w:styleId="year">
    <w:name w:val="year"/>
    <w:rsid w:val="009B15BE"/>
    <w:rPr>
      <w:rFonts w:ascii="Arial" w:hAnsi="Arial" w:cs="Arial" w:hint="default"/>
      <w:b/>
      <w:bCs/>
      <w:color w:val="333333"/>
      <w:sz w:val="18"/>
      <w:szCs w:val="18"/>
    </w:rPr>
  </w:style>
  <w:style w:type="character" w:customStyle="1" w:styleId="footnote">
    <w:name w:val="footnote"/>
    <w:rsid w:val="009B15BE"/>
    <w:rPr>
      <w:rFonts w:ascii="Arial" w:hAnsi="Arial" w:cs="Arial" w:hint="default"/>
      <w:color w:val="333333"/>
      <w:sz w:val="16"/>
      <w:szCs w:val="16"/>
    </w:rPr>
  </w:style>
  <w:style w:type="character" w:customStyle="1" w:styleId="footnoteyellow">
    <w:name w:val="footnoteyellow"/>
    <w:rsid w:val="009B15BE"/>
    <w:rPr>
      <w:b/>
      <w:bCs/>
      <w:color w:val="FFFF00"/>
      <w:shd w:val="clear" w:color="auto" w:fill="003399"/>
    </w:rPr>
  </w:style>
  <w:style w:type="character" w:customStyle="1" w:styleId="footnoteorange">
    <w:name w:val="footnoteorange"/>
    <w:rsid w:val="009B15BE"/>
    <w:rPr>
      <w:b/>
      <w:bCs/>
      <w:color w:val="FFD699"/>
      <w:shd w:val="clear" w:color="auto" w:fill="003399"/>
    </w:rPr>
  </w:style>
  <w:style w:type="character" w:customStyle="1" w:styleId="footnotedim">
    <w:name w:val="footnotedim"/>
    <w:rsid w:val="009B15BE"/>
    <w:rPr>
      <w:b w:val="0"/>
      <w:bCs w:val="0"/>
      <w:i/>
      <w:iCs/>
      <w:color w:val="FFFFFF"/>
      <w:shd w:val="clear" w:color="auto" w:fill="003399"/>
    </w:rPr>
  </w:style>
  <w:style w:type="character" w:customStyle="1" w:styleId="footnotedimorange">
    <w:name w:val="footnotedimorange"/>
    <w:rsid w:val="009B15BE"/>
    <w:rPr>
      <w:b w:val="0"/>
      <w:bCs w:val="0"/>
      <w:i/>
      <w:iCs/>
      <w:color w:val="FFD699"/>
      <w:shd w:val="clear" w:color="auto" w:fill="003399"/>
    </w:rPr>
  </w:style>
  <w:style w:type="paragraph" w:styleId="FootnoteText">
    <w:name w:val="footnote text"/>
    <w:basedOn w:val="Normal"/>
    <w:link w:val="FootnoteTextChar"/>
    <w:rsid w:val="009B15BE"/>
    <w:rPr>
      <w:sz w:val="20"/>
      <w:szCs w:val="20"/>
      <w:lang w:val="x-none" w:eastAsia="x-none"/>
    </w:rPr>
  </w:style>
  <w:style w:type="character" w:customStyle="1" w:styleId="FootnoteTextChar">
    <w:name w:val="Footnote Text Char"/>
    <w:link w:val="FootnoteText"/>
    <w:rsid w:val="009B15BE"/>
    <w:rPr>
      <w:rFonts w:ascii="Calibri" w:eastAsia="Times New Roman" w:hAnsi="Calibri" w:cs="Times New Roman"/>
      <w:sz w:val="20"/>
      <w:szCs w:val="20"/>
      <w:lang w:bidi="ar-SA"/>
    </w:rPr>
  </w:style>
  <w:style w:type="character" w:styleId="FootnoteReference">
    <w:name w:val="footnote reference"/>
    <w:rsid w:val="009B15BE"/>
    <w:rPr>
      <w:rFonts w:cs="Times New Roman"/>
      <w:vertAlign w:val="superscript"/>
    </w:rPr>
  </w:style>
  <w:style w:type="paragraph" w:customStyle="1" w:styleId="Table">
    <w:name w:val="Table"/>
    <w:basedOn w:val="Normal"/>
    <w:next w:val="Normal"/>
    <w:link w:val="TableChar"/>
    <w:rsid w:val="009B15BE"/>
    <w:pPr>
      <w:spacing w:after="0" w:line="240" w:lineRule="auto"/>
      <w:jc w:val="left"/>
    </w:pPr>
    <w:rPr>
      <w:rFonts w:ascii="Times New Roman" w:hAnsi="Times New Roman"/>
      <w:b/>
      <w:sz w:val="23"/>
      <w:szCs w:val="20"/>
      <w:lang w:val="x-none" w:eastAsia="x-none"/>
    </w:rPr>
  </w:style>
  <w:style w:type="character" w:customStyle="1" w:styleId="TableChar">
    <w:name w:val="Table Char"/>
    <w:link w:val="Table"/>
    <w:rsid w:val="009B15BE"/>
    <w:rPr>
      <w:rFonts w:ascii="Times New Roman" w:eastAsia="Times New Roman" w:hAnsi="Times New Roman" w:cs="Times New Roman"/>
      <w:b/>
      <w:sz w:val="23"/>
      <w:lang w:bidi="ar-SA"/>
    </w:rPr>
  </w:style>
  <w:style w:type="paragraph" w:customStyle="1" w:styleId="Policy">
    <w:name w:val="Policy"/>
    <w:basedOn w:val="Normal"/>
    <w:link w:val="PolicyChar"/>
    <w:qFormat/>
    <w:rsid w:val="001A51A0"/>
    <w:pPr>
      <w:tabs>
        <w:tab w:val="left" w:pos="720"/>
      </w:tabs>
      <w:spacing w:after="240" w:line="240" w:lineRule="auto"/>
      <w:ind w:left="720"/>
    </w:pPr>
    <w:rPr>
      <w:bCs/>
      <w:szCs w:val="24"/>
    </w:rPr>
  </w:style>
  <w:style w:type="paragraph" w:customStyle="1" w:styleId="Action">
    <w:name w:val="Action"/>
    <w:qFormat/>
    <w:rsid w:val="00EC157B"/>
    <w:pPr>
      <w:spacing w:after="200"/>
      <w:ind w:left="1166"/>
    </w:pPr>
    <w:rPr>
      <w:bCs/>
      <w:i/>
      <w:sz w:val="22"/>
      <w:szCs w:val="24"/>
    </w:rPr>
  </w:style>
  <w:style w:type="paragraph" w:customStyle="1" w:styleId="ColorfulList-Accent11">
    <w:name w:val="Colorful List - Accent 11"/>
    <w:basedOn w:val="Normal"/>
    <w:uiPriority w:val="34"/>
    <w:qFormat/>
    <w:rsid w:val="000C108F"/>
    <w:pPr>
      <w:ind w:left="1080" w:hanging="360"/>
      <w:contextualSpacing/>
    </w:pPr>
  </w:style>
  <w:style w:type="paragraph" w:customStyle="1" w:styleId="Objective">
    <w:name w:val="Objective"/>
    <w:basedOn w:val="Normal"/>
    <w:qFormat/>
    <w:rsid w:val="00A163DF"/>
    <w:pPr>
      <w:tabs>
        <w:tab w:val="left" w:pos="3870"/>
      </w:tabs>
      <w:spacing w:before="40" w:line="240" w:lineRule="auto"/>
      <w:ind w:left="1627" w:hanging="1627"/>
      <w:jc w:val="left"/>
    </w:pPr>
    <w:rPr>
      <w:rFonts w:eastAsia="Cambria"/>
      <w:b/>
      <w:i/>
      <w:color w:val="632423"/>
    </w:rPr>
  </w:style>
  <w:style w:type="paragraph" w:customStyle="1" w:styleId="ColusaGoal">
    <w:name w:val="ColusaGoal"/>
    <w:basedOn w:val="Normal"/>
    <w:qFormat/>
    <w:rsid w:val="00A163DF"/>
    <w:pPr>
      <w:spacing w:before="120" w:after="120" w:line="276" w:lineRule="auto"/>
      <w:ind w:left="1530" w:hanging="1530"/>
      <w:jc w:val="left"/>
    </w:pPr>
    <w:rPr>
      <w:rFonts w:ascii="Palatino Linotype" w:eastAsia="Cambria" w:hAnsi="Palatino Linotype" w:cs="Courier"/>
      <w:b/>
      <w:color w:val="632423"/>
    </w:rPr>
  </w:style>
  <w:style w:type="character" w:customStyle="1" w:styleId="PolicyChar">
    <w:name w:val="Policy Char"/>
    <w:link w:val="Policy"/>
    <w:rsid w:val="00743381"/>
    <w:rPr>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5819">
      <w:bodyDiv w:val="1"/>
      <w:marLeft w:val="0"/>
      <w:marRight w:val="0"/>
      <w:marTop w:val="0"/>
      <w:marBottom w:val="0"/>
      <w:divBdr>
        <w:top w:val="none" w:sz="0" w:space="0" w:color="auto"/>
        <w:left w:val="none" w:sz="0" w:space="0" w:color="auto"/>
        <w:bottom w:val="none" w:sz="0" w:space="0" w:color="auto"/>
        <w:right w:val="none" w:sz="0" w:space="0" w:color="auto"/>
      </w:divBdr>
    </w:div>
    <w:div w:id="207691486">
      <w:bodyDiv w:val="1"/>
      <w:marLeft w:val="0"/>
      <w:marRight w:val="0"/>
      <w:marTop w:val="0"/>
      <w:marBottom w:val="0"/>
      <w:divBdr>
        <w:top w:val="none" w:sz="0" w:space="0" w:color="auto"/>
        <w:left w:val="none" w:sz="0" w:space="0" w:color="auto"/>
        <w:bottom w:val="none" w:sz="0" w:space="0" w:color="auto"/>
        <w:right w:val="none" w:sz="0" w:space="0" w:color="auto"/>
      </w:divBdr>
    </w:div>
    <w:div w:id="208805847">
      <w:bodyDiv w:val="1"/>
      <w:marLeft w:val="0"/>
      <w:marRight w:val="0"/>
      <w:marTop w:val="0"/>
      <w:marBottom w:val="0"/>
      <w:divBdr>
        <w:top w:val="none" w:sz="0" w:space="0" w:color="auto"/>
        <w:left w:val="none" w:sz="0" w:space="0" w:color="auto"/>
        <w:bottom w:val="none" w:sz="0" w:space="0" w:color="auto"/>
        <w:right w:val="none" w:sz="0" w:space="0" w:color="auto"/>
      </w:divBdr>
      <w:divsChild>
        <w:div w:id="42564337">
          <w:marLeft w:val="0"/>
          <w:marRight w:val="0"/>
          <w:marTop w:val="0"/>
          <w:marBottom w:val="0"/>
          <w:divBdr>
            <w:top w:val="none" w:sz="0" w:space="0" w:color="auto"/>
            <w:left w:val="none" w:sz="0" w:space="0" w:color="auto"/>
            <w:bottom w:val="none" w:sz="0" w:space="0" w:color="auto"/>
            <w:right w:val="none" w:sz="0" w:space="0" w:color="auto"/>
          </w:divBdr>
          <w:divsChild>
            <w:div w:id="1219050590">
              <w:marLeft w:val="0"/>
              <w:marRight w:val="0"/>
              <w:marTop w:val="0"/>
              <w:marBottom w:val="0"/>
              <w:divBdr>
                <w:top w:val="none" w:sz="0" w:space="0" w:color="auto"/>
                <w:left w:val="none" w:sz="0" w:space="0" w:color="auto"/>
                <w:bottom w:val="none" w:sz="0" w:space="0" w:color="auto"/>
                <w:right w:val="none" w:sz="0" w:space="0" w:color="auto"/>
              </w:divBdr>
              <w:divsChild>
                <w:div w:id="560333766">
                  <w:marLeft w:val="0"/>
                  <w:marRight w:val="0"/>
                  <w:marTop w:val="0"/>
                  <w:marBottom w:val="0"/>
                  <w:divBdr>
                    <w:top w:val="none" w:sz="0" w:space="0" w:color="auto"/>
                    <w:left w:val="none" w:sz="0" w:space="0" w:color="auto"/>
                    <w:bottom w:val="none" w:sz="0" w:space="0" w:color="auto"/>
                    <w:right w:val="none" w:sz="0" w:space="0" w:color="auto"/>
                  </w:divBdr>
                  <w:divsChild>
                    <w:div w:id="2039430793">
                      <w:marLeft w:val="0"/>
                      <w:marRight w:val="0"/>
                      <w:marTop w:val="0"/>
                      <w:marBottom w:val="0"/>
                      <w:divBdr>
                        <w:top w:val="none" w:sz="0" w:space="0" w:color="auto"/>
                        <w:left w:val="none" w:sz="0" w:space="0" w:color="auto"/>
                        <w:bottom w:val="none" w:sz="0" w:space="0" w:color="auto"/>
                        <w:right w:val="none" w:sz="0" w:space="0" w:color="auto"/>
                      </w:divBdr>
                      <w:divsChild>
                        <w:div w:id="1947612700">
                          <w:marLeft w:val="3135"/>
                          <w:marRight w:val="150"/>
                          <w:marTop w:val="0"/>
                          <w:marBottom w:val="0"/>
                          <w:divBdr>
                            <w:top w:val="none" w:sz="0" w:space="0" w:color="auto"/>
                            <w:left w:val="none" w:sz="0" w:space="0" w:color="auto"/>
                            <w:bottom w:val="none" w:sz="0" w:space="0" w:color="auto"/>
                            <w:right w:val="none" w:sz="0" w:space="0" w:color="auto"/>
                          </w:divBdr>
                          <w:divsChild>
                            <w:div w:id="10953410">
                              <w:marLeft w:val="0"/>
                              <w:marRight w:val="0"/>
                              <w:marTop w:val="0"/>
                              <w:marBottom w:val="0"/>
                              <w:divBdr>
                                <w:top w:val="none" w:sz="0" w:space="0" w:color="auto"/>
                                <w:left w:val="none" w:sz="0" w:space="0" w:color="auto"/>
                                <w:bottom w:val="none" w:sz="0" w:space="0" w:color="auto"/>
                                <w:right w:val="none" w:sz="0" w:space="0" w:color="auto"/>
                              </w:divBdr>
                              <w:divsChild>
                                <w:div w:id="201768491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13722">
      <w:bodyDiv w:val="1"/>
      <w:marLeft w:val="0"/>
      <w:marRight w:val="0"/>
      <w:marTop w:val="0"/>
      <w:marBottom w:val="0"/>
      <w:divBdr>
        <w:top w:val="none" w:sz="0" w:space="0" w:color="auto"/>
        <w:left w:val="none" w:sz="0" w:space="0" w:color="auto"/>
        <w:bottom w:val="none" w:sz="0" w:space="0" w:color="auto"/>
        <w:right w:val="none" w:sz="0" w:space="0" w:color="auto"/>
      </w:divBdr>
      <w:divsChild>
        <w:div w:id="1365446247">
          <w:marLeft w:val="0"/>
          <w:marRight w:val="0"/>
          <w:marTop w:val="0"/>
          <w:marBottom w:val="0"/>
          <w:divBdr>
            <w:top w:val="none" w:sz="0" w:space="0" w:color="auto"/>
            <w:left w:val="none" w:sz="0" w:space="0" w:color="auto"/>
            <w:bottom w:val="none" w:sz="0" w:space="0" w:color="auto"/>
            <w:right w:val="none" w:sz="0" w:space="0" w:color="auto"/>
          </w:divBdr>
          <w:divsChild>
            <w:div w:id="422800871">
              <w:marLeft w:val="0"/>
              <w:marRight w:val="0"/>
              <w:marTop w:val="0"/>
              <w:marBottom w:val="0"/>
              <w:divBdr>
                <w:top w:val="none" w:sz="0" w:space="0" w:color="auto"/>
                <w:left w:val="none" w:sz="0" w:space="0" w:color="auto"/>
                <w:bottom w:val="none" w:sz="0" w:space="0" w:color="auto"/>
                <w:right w:val="none" w:sz="0" w:space="0" w:color="auto"/>
              </w:divBdr>
              <w:divsChild>
                <w:div w:id="994988815">
                  <w:marLeft w:val="0"/>
                  <w:marRight w:val="0"/>
                  <w:marTop w:val="0"/>
                  <w:marBottom w:val="0"/>
                  <w:divBdr>
                    <w:top w:val="none" w:sz="0" w:space="0" w:color="auto"/>
                    <w:left w:val="none" w:sz="0" w:space="0" w:color="auto"/>
                    <w:bottom w:val="none" w:sz="0" w:space="0" w:color="auto"/>
                    <w:right w:val="none" w:sz="0" w:space="0" w:color="auto"/>
                  </w:divBdr>
                  <w:divsChild>
                    <w:div w:id="1548956624">
                      <w:marLeft w:val="0"/>
                      <w:marRight w:val="0"/>
                      <w:marTop w:val="0"/>
                      <w:marBottom w:val="0"/>
                      <w:divBdr>
                        <w:top w:val="none" w:sz="0" w:space="0" w:color="auto"/>
                        <w:left w:val="none" w:sz="0" w:space="0" w:color="auto"/>
                        <w:bottom w:val="none" w:sz="0" w:space="0" w:color="auto"/>
                        <w:right w:val="none" w:sz="0" w:space="0" w:color="auto"/>
                      </w:divBdr>
                      <w:divsChild>
                        <w:div w:id="1693410443">
                          <w:marLeft w:val="0"/>
                          <w:marRight w:val="0"/>
                          <w:marTop w:val="0"/>
                          <w:marBottom w:val="0"/>
                          <w:divBdr>
                            <w:top w:val="none" w:sz="0" w:space="0" w:color="auto"/>
                            <w:left w:val="none" w:sz="0" w:space="0" w:color="auto"/>
                            <w:bottom w:val="none" w:sz="0" w:space="0" w:color="auto"/>
                            <w:right w:val="none" w:sz="0" w:space="0" w:color="auto"/>
                          </w:divBdr>
                          <w:divsChild>
                            <w:div w:id="856038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284017">
      <w:bodyDiv w:val="1"/>
      <w:marLeft w:val="0"/>
      <w:marRight w:val="0"/>
      <w:marTop w:val="0"/>
      <w:marBottom w:val="0"/>
      <w:divBdr>
        <w:top w:val="none" w:sz="0" w:space="0" w:color="auto"/>
        <w:left w:val="none" w:sz="0" w:space="0" w:color="auto"/>
        <w:bottom w:val="none" w:sz="0" w:space="0" w:color="auto"/>
        <w:right w:val="none" w:sz="0" w:space="0" w:color="auto"/>
      </w:divBdr>
    </w:div>
    <w:div w:id="539706189">
      <w:bodyDiv w:val="1"/>
      <w:marLeft w:val="0"/>
      <w:marRight w:val="0"/>
      <w:marTop w:val="0"/>
      <w:marBottom w:val="0"/>
      <w:divBdr>
        <w:top w:val="none" w:sz="0" w:space="0" w:color="auto"/>
        <w:left w:val="none" w:sz="0" w:space="0" w:color="auto"/>
        <w:bottom w:val="none" w:sz="0" w:space="0" w:color="auto"/>
        <w:right w:val="none" w:sz="0" w:space="0" w:color="auto"/>
      </w:divBdr>
    </w:div>
    <w:div w:id="655257643">
      <w:bodyDiv w:val="1"/>
      <w:marLeft w:val="0"/>
      <w:marRight w:val="0"/>
      <w:marTop w:val="0"/>
      <w:marBottom w:val="0"/>
      <w:divBdr>
        <w:top w:val="none" w:sz="0" w:space="0" w:color="auto"/>
        <w:left w:val="none" w:sz="0" w:space="0" w:color="auto"/>
        <w:bottom w:val="none" w:sz="0" w:space="0" w:color="auto"/>
        <w:right w:val="none" w:sz="0" w:space="0" w:color="auto"/>
      </w:divBdr>
    </w:div>
    <w:div w:id="714308981">
      <w:bodyDiv w:val="1"/>
      <w:marLeft w:val="0"/>
      <w:marRight w:val="0"/>
      <w:marTop w:val="0"/>
      <w:marBottom w:val="0"/>
      <w:divBdr>
        <w:top w:val="none" w:sz="0" w:space="0" w:color="auto"/>
        <w:left w:val="none" w:sz="0" w:space="0" w:color="auto"/>
        <w:bottom w:val="none" w:sz="0" w:space="0" w:color="auto"/>
        <w:right w:val="none" w:sz="0" w:space="0" w:color="auto"/>
      </w:divBdr>
    </w:div>
    <w:div w:id="741753866">
      <w:bodyDiv w:val="1"/>
      <w:marLeft w:val="0"/>
      <w:marRight w:val="0"/>
      <w:marTop w:val="0"/>
      <w:marBottom w:val="0"/>
      <w:divBdr>
        <w:top w:val="none" w:sz="0" w:space="0" w:color="auto"/>
        <w:left w:val="none" w:sz="0" w:space="0" w:color="auto"/>
        <w:bottom w:val="none" w:sz="0" w:space="0" w:color="auto"/>
        <w:right w:val="none" w:sz="0" w:space="0" w:color="auto"/>
      </w:divBdr>
    </w:div>
    <w:div w:id="743141788">
      <w:bodyDiv w:val="1"/>
      <w:marLeft w:val="0"/>
      <w:marRight w:val="0"/>
      <w:marTop w:val="0"/>
      <w:marBottom w:val="0"/>
      <w:divBdr>
        <w:top w:val="none" w:sz="0" w:space="0" w:color="auto"/>
        <w:left w:val="none" w:sz="0" w:space="0" w:color="auto"/>
        <w:bottom w:val="none" w:sz="0" w:space="0" w:color="auto"/>
        <w:right w:val="none" w:sz="0" w:space="0" w:color="auto"/>
      </w:divBdr>
    </w:div>
    <w:div w:id="835727494">
      <w:bodyDiv w:val="1"/>
      <w:marLeft w:val="0"/>
      <w:marRight w:val="0"/>
      <w:marTop w:val="0"/>
      <w:marBottom w:val="0"/>
      <w:divBdr>
        <w:top w:val="none" w:sz="0" w:space="0" w:color="auto"/>
        <w:left w:val="none" w:sz="0" w:space="0" w:color="auto"/>
        <w:bottom w:val="none" w:sz="0" w:space="0" w:color="auto"/>
        <w:right w:val="none" w:sz="0" w:space="0" w:color="auto"/>
      </w:divBdr>
    </w:div>
    <w:div w:id="989865914">
      <w:bodyDiv w:val="1"/>
      <w:marLeft w:val="0"/>
      <w:marRight w:val="0"/>
      <w:marTop w:val="0"/>
      <w:marBottom w:val="0"/>
      <w:divBdr>
        <w:top w:val="none" w:sz="0" w:space="0" w:color="auto"/>
        <w:left w:val="none" w:sz="0" w:space="0" w:color="auto"/>
        <w:bottom w:val="none" w:sz="0" w:space="0" w:color="auto"/>
        <w:right w:val="none" w:sz="0" w:space="0" w:color="auto"/>
      </w:divBdr>
    </w:div>
    <w:div w:id="1102186568">
      <w:bodyDiv w:val="1"/>
      <w:marLeft w:val="0"/>
      <w:marRight w:val="0"/>
      <w:marTop w:val="0"/>
      <w:marBottom w:val="0"/>
      <w:divBdr>
        <w:top w:val="none" w:sz="0" w:space="0" w:color="auto"/>
        <w:left w:val="none" w:sz="0" w:space="0" w:color="auto"/>
        <w:bottom w:val="none" w:sz="0" w:space="0" w:color="auto"/>
        <w:right w:val="none" w:sz="0" w:space="0" w:color="auto"/>
      </w:divBdr>
    </w:div>
    <w:div w:id="1112895694">
      <w:bodyDiv w:val="1"/>
      <w:marLeft w:val="0"/>
      <w:marRight w:val="0"/>
      <w:marTop w:val="0"/>
      <w:marBottom w:val="0"/>
      <w:divBdr>
        <w:top w:val="none" w:sz="0" w:space="0" w:color="auto"/>
        <w:left w:val="none" w:sz="0" w:space="0" w:color="auto"/>
        <w:bottom w:val="none" w:sz="0" w:space="0" w:color="auto"/>
        <w:right w:val="none" w:sz="0" w:space="0" w:color="auto"/>
      </w:divBdr>
      <w:divsChild>
        <w:div w:id="317539758">
          <w:marLeft w:val="0"/>
          <w:marRight w:val="0"/>
          <w:marTop w:val="0"/>
          <w:marBottom w:val="0"/>
          <w:divBdr>
            <w:top w:val="none" w:sz="0" w:space="0" w:color="auto"/>
            <w:left w:val="none" w:sz="0" w:space="0" w:color="auto"/>
            <w:bottom w:val="none" w:sz="0" w:space="0" w:color="auto"/>
            <w:right w:val="none" w:sz="0" w:space="0" w:color="auto"/>
          </w:divBdr>
          <w:divsChild>
            <w:div w:id="648755845">
              <w:marLeft w:val="0"/>
              <w:marRight w:val="0"/>
              <w:marTop w:val="0"/>
              <w:marBottom w:val="0"/>
              <w:divBdr>
                <w:top w:val="none" w:sz="0" w:space="0" w:color="auto"/>
                <w:left w:val="none" w:sz="0" w:space="0" w:color="auto"/>
                <w:bottom w:val="none" w:sz="0" w:space="0" w:color="auto"/>
                <w:right w:val="none" w:sz="0" w:space="0" w:color="auto"/>
              </w:divBdr>
              <w:divsChild>
                <w:div w:id="505560566">
                  <w:marLeft w:val="0"/>
                  <w:marRight w:val="0"/>
                  <w:marTop w:val="0"/>
                  <w:marBottom w:val="0"/>
                  <w:divBdr>
                    <w:top w:val="none" w:sz="0" w:space="0" w:color="auto"/>
                    <w:left w:val="none" w:sz="0" w:space="0" w:color="auto"/>
                    <w:bottom w:val="none" w:sz="0" w:space="0" w:color="auto"/>
                    <w:right w:val="none" w:sz="0" w:space="0" w:color="auto"/>
                  </w:divBdr>
                  <w:divsChild>
                    <w:div w:id="294221119">
                      <w:marLeft w:val="0"/>
                      <w:marRight w:val="0"/>
                      <w:marTop w:val="0"/>
                      <w:marBottom w:val="0"/>
                      <w:divBdr>
                        <w:top w:val="none" w:sz="0" w:space="0" w:color="auto"/>
                        <w:left w:val="none" w:sz="0" w:space="0" w:color="auto"/>
                        <w:bottom w:val="none" w:sz="0" w:space="0" w:color="auto"/>
                        <w:right w:val="none" w:sz="0" w:space="0" w:color="auto"/>
                      </w:divBdr>
                      <w:divsChild>
                        <w:div w:id="754328289">
                          <w:marLeft w:val="3135"/>
                          <w:marRight w:val="150"/>
                          <w:marTop w:val="0"/>
                          <w:marBottom w:val="0"/>
                          <w:divBdr>
                            <w:top w:val="none" w:sz="0" w:space="0" w:color="auto"/>
                            <w:left w:val="none" w:sz="0" w:space="0" w:color="auto"/>
                            <w:bottom w:val="none" w:sz="0" w:space="0" w:color="auto"/>
                            <w:right w:val="none" w:sz="0" w:space="0" w:color="auto"/>
                          </w:divBdr>
                          <w:divsChild>
                            <w:div w:id="1617251231">
                              <w:marLeft w:val="0"/>
                              <w:marRight w:val="0"/>
                              <w:marTop w:val="0"/>
                              <w:marBottom w:val="0"/>
                              <w:divBdr>
                                <w:top w:val="none" w:sz="0" w:space="0" w:color="auto"/>
                                <w:left w:val="none" w:sz="0" w:space="0" w:color="auto"/>
                                <w:bottom w:val="none" w:sz="0" w:space="0" w:color="auto"/>
                                <w:right w:val="none" w:sz="0" w:space="0" w:color="auto"/>
                              </w:divBdr>
                              <w:divsChild>
                                <w:div w:id="3889664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933852">
      <w:bodyDiv w:val="1"/>
      <w:marLeft w:val="0"/>
      <w:marRight w:val="0"/>
      <w:marTop w:val="0"/>
      <w:marBottom w:val="0"/>
      <w:divBdr>
        <w:top w:val="none" w:sz="0" w:space="0" w:color="auto"/>
        <w:left w:val="none" w:sz="0" w:space="0" w:color="auto"/>
        <w:bottom w:val="none" w:sz="0" w:space="0" w:color="auto"/>
        <w:right w:val="none" w:sz="0" w:space="0" w:color="auto"/>
      </w:divBdr>
    </w:div>
    <w:div w:id="1344746246">
      <w:bodyDiv w:val="1"/>
      <w:marLeft w:val="0"/>
      <w:marRight w:val="0"/>
      <w:marTop w:val="0"/>
      <w:marBottom w:val="0"/>
      <w:divBdr>
        <w:top w:val="none" w:sz="0" w:space="0" w:color="auto"/>
        <w:left w:val="none" w:sz="0" w:space="0" w:color="auto"/>
        <w:bottom w:val="none" w:sz="0" w:space="0" w:color="auto"/>
        <w:right w:val="none" w:sz="0" w:space="0" w:color="auto"/>
      </w:divBdr>
      <w:divsChild>
        <w:div w:id="1194347117">
          <w:marLeft w:val="0"/>
          <w:marRight w:val="0"/>
          <w:marTop w:val="0"/>
          <w:marBottom w:val="0"/>
          <w:divBdr>
            <w:top w:val="none" w:sz="0" w:space="0" w:color="auto"/>
            <w:left w:val="none" w:sz="0" w:space="0" w:color="auto"/>
            <w:bottom w:val="none" w:sz="0" w:space="0" w:color="auto"/>
            <w:right w:val="none" w:sz="0" w:space="0" w:color="auto"/>
          </w:divBdr>
          <w:divsChild>
            <w:div w:id="1601403260">
              <w:marLeft w:val="0"/>
              <w:marRight w:val="0"/>
              <w:marTop w:val="0"/>
              <w:marBottom w:val="0"/>
              <w:divBdr>
                <w:top w:val="none" w:sz="0" w:space="0" w:color="auto"/>
                <w:left w:val="none" w:sz="0" w:space="0" w:color="auto"/>
                <w:bottom w:val="none" w:sz="0" w:space="0" w:color="auto"/>
                <w:right w:val="none" w:sz="0" w:space="0" w:color="auto"/>
              </w:divBdr>
              <w:divsChild>
                <w:div w:id="1875968720">
                  <w:marLeft w:val="0"/>
                  <w:marRight w:val="0"/>
                  <w:marTop w:val="0"/>
                  <w:marBottom w:val="0"/>
                  <w:divBdr>
                    <w:top w:val="none" w:sz="0" w:space="0" w:color="auto"/>
                    <w:left w:val="none" w:sz="0" w:space="0" w:color="auto"/>
                    <w:bottom w:val="none" w:sz="0" w:space="0" w:color="auto"/>
                    <w:right w:val="none" w:sz="0" w:space="0" w:color="auto"/>
                  </w:divBdr>
                  <w:divsChild>
                    <w:div w:id="1807117970">
                      <w:marLeft w:val="0"/>
                      <w:marRight w:val="0"/>
                      <w:marTop w:val="0"/>
                      <w:marBottom w:val="0"/>
                      <w:divBdr>
                        <w:top w:val="none" w:sz="0" w:space="0" w:color="auto"/>
                        <w:left w:val="none" w:sz="0" w:space="0" w:color="auto"/>
                        <w:bottom w:val="none" w:sz="0" w:space="0" w:color="auto"/>
                        <w:right w:val="none" w:sz="0" w:space="0" w:color="auto"/>
                      </w:divBdr>
                      <w:divsChild>
                        <w:div w:id="1839806884">
                          <w:marLeft w:val="3135"/>
                          <w:marRight w:val="150"/>
                          <w:marTop w:val="0"/>
                          <w:marBottom w:val="0"/>
                          <w:divBdr>
                            <w:top w:val="none" w:sz="0" w:space="0" w:color="auto"/>
                            <w:left w:val="none" w:sz="0" w:space="0" w:color="auto"/>
                            <w:bottom w:val="none" w:sz="0" w:space="0" w:color="auto"/>
                            <w:right w:val="none" w:sz="0" w:space="0" w:color="auto"/>
                          </w:divBdr>
                          <w:divsChild>
                            <w:div w:id="990064136">
                              <w:marLeft w:val="0"/>
                              <w:marRight w:val="0"/>
                              <w:marTop w:val="0"/>
                              <w:marBottom w:val="0"/>
                              <w:divBdr>
                                <w:top w:val="none" w:sz="0" w:space="0" w:color="auto"/>
                                <w:left w:val="none" w:sz="0" w:space="0" w:color="auto"/>
                                <w:bottom w:val="none" w:sz="0" w:space="0" w:color="auto"/>
                                <w:right w:val="none" w:sz="0" w:space="0" w:color="auto"/>
                              </w:divBdr>
                              <w:divsChild>
                                <w:div w:id="10949839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4303471">
      <w:bodyDiv w:val="1"/>
      <w:marLeft w:val="0"/>
      <w:marRight w:val="0"/>
      <w:marTop w:val="0"/>
      <w:marBottom w:val="0"/>
      <w:divBdr>
        <w:top w:val="none" w:sz="0" w:space="0" w:color="auto"/>
        <w:left w:val="none" w:sz="0" w:space="0" w:color="auto"/>
        <w:bottom w:val="none" w:sz="0" w:space="0" w:color="auto"/>
        <w:right w:val="none" w:sz="0" w:space="0" w:color="auto"/>
      </w:divBdr>
      <w:divsChild>
        <w:div w:id="857155355">
          <w:marLeft w:val="0"/>
          <w:marRight w:val="0"/>
          <w:marTop w:val="0"/>
          <w:marBottom w:val="0"/>
          <w:divBdr>
            <w:top w:val="none" w:sz="0" w:space="0" w:color="auto"/>
            <w:left w:val="none" w:sz="0" w:space="0" w:color="auto"/>
            <w:bottom w:val="none" w:sz="0" w:space="0" w:color="auto"/>
            <w:right w:val="none" w:sz="0" w:space="0" w:color="auto"/>
          </w:divBdr>
          <w:divsChild>
            <w:div w:id="309755644">
              <w:marLeft w:val="150"/>
              <w:marRight w:val="150"/>
              <w:marTop w:val="105"/>
              <w:marBottom w:val="105"/>
              <w:divBdr>
                <w:top w:val="none" w:sz="0" w:space="0" w:color="auto"/>
                <w:left w:val="none" w:sz="0" w:space="0" w:color="auto"/>
                <w:bottom w:val="none" w:sz="0" w:space="0" w:color="auto"/>
                <w:right w:val="none" w:sz="0" w:space="0" w:color="auto"/>
              </w:divBdr>
            </w:div>
          </w:divsChild>
        </w:div>
      </w:divsChild>
    </w:div>
    <w:div w:id="1490367566">
      <w:bodyDiv w:val="1"/>
      <w:marLeft w:val="0"/>
      <w:marRight w:val="0"/>
      <w:marTop w:val="0"/>
      <w:marBottom w:val="0"/>
      <w:divBdr>
        <w:top w:val="none" w:sz="0" w:space="0" w:color="auto"/>
        <w:left w:val="none" w:sz="0" w:space="0" w:color="auto"/>
        <w:bottom w:val="none" w:sz="0" w:space="0" w:color="auto"/>
        <w:right w:val="none" w:sz="0" w:space="0" w:color="auto"/>
      </w:divBdr>
    </w:div>
    <w:div w:id="1533349174">
      <w:bodyDiv w:val="1"/>
      <w:marLeft w:val="0"/>
      <w:marRight w:val="0"/>
      <w:marTop w:val="0"/>
      <w:marBottom w:val="0"/>
      <w:divBdr>
        <w:top w:val="none" w:sz="0" w:space="0" w:color="auto"/>
        <w:left w:val="none" w:sz="0" w:space="0" w:color="auto"/>
        <w:bottom w:val="none" w:sz="0" w:space="0" w:color="auto"/>
        <w:right w:val="none" w:sz="0" w:space="0" w:color="auto"/>
      </w:divBdr>
      <w:divsChild>
        <w:div w:id="2136410205">
          <w:marLeft w:val="0"/>
          <w:marRight w:val="0"/>
          <w:marTop w:val="0"/>
          <w:marBottom w:val="0"/>
          <w:divBdr>
            <w:top w:val="none" w:sz="0" w:space="0" w:color="auto"/>
            <w:left w:val="none" w:sz="0" w:space="0" w:color="auto"/>
            <w:bottom w:val="none" w:sz="0" w:space="0" w:color="auto"/>
            <w:right w:val="none" w:sz="0" w:space="0" w:color="auto"/>
          </w:divBdr>
          <w:divsChild>
            <w:div w:id="1869294041">
              <w:marLeft w:val="0"/>
              <w:marRight w:val="0"/>
              <w:marTop w:val="0"/>
              <w:marBottom w:val="0"/>
              <w:divBdr>
                <w:top w:val="none" w:sz="0" w:space="0" w:color="auto"/>
                <w:left w:val="none" w:sz="0" w:space="0" w:color="auto"/>
                <w:bottom w:val="none" w:sz="0" w:space="0" w:color="auto"/>
                <w:right w:val="none" w:sz="0" w:space="0" w:color="auto"/>
              </w:divBdr>
              <w:divsChild>
                <w:div w:id="2081899077">
                  <w:marLeft w:val="0"/>
                  <w:marRight w:val="0"/>
                  <w:marTop w:val="0"/>
                  <w:marBottom w:val="0"/>
                  <w:divBdr>
                    <w:top w:val="none" w:sz="0" w:space="0" w:color="auto"/>
                    <w:left w:val="none" w:sz="0" w:space="0" w:color="auto"/>
                    <w:bottom w:val="none" w:sz="0" w:space="0" w:color="auto"/>
                    <w:right w:val="none" w:sz="0" w:space="0" w:color="auto"/>
                  </w:divBdr>
                  <w:divsChild>
                    <w:div w:id="1251548552">
                      <w:marLeft w:val="0"/>
                      <w:marRight w:val="0"/>
                      <w:marTop w:val="0"/>
                      <w:marBottom w:val="0"/>
                      <w:divBdr>
                        <w:top w:val="none" w:sz="0" w:space="0" w:color="auto"/>
                        <w:left w:val="none" w:sz="0" w:space="0" w:color="auto"/>
                        <w:bottom w:val="none" w:sz="0" w:space="0" w:color="auto"/>
                        <w:right w:val="none" w:sz="0" w:space="0" w:color="auto"/>
                      </w:divBdr>
                      <w:divsChild>
                        <w:div w:id="788550197">
                          <w:marLeft w:val="3135"/>
                          <w:marRight w:val="150"/>
                          <w:marTop w:val="0"/>
                          <w:marBottom w:val="0"/>
                          <w:divBdr>
                            <w:top w:val="none" w:sz="0" w:space="0" w:color="auto"/>
                            <w:left w:val="none" w:sz="0" w:space="0" w:color="auto"/>
                            <w:bottom w:val="none" w:sz="0" w:space="0" w:color="auto"/>
                            <w:right w:val="none" w:sz="0" w:space="0" w:color="auto"/>
                          </w:divBdr>
                          <w:divsChild>
                            <w:div w:id="1864396285">
                              <w:marLeft w:val="0"/>
                              <w:marRight w:val="0"/>
                              <w:marTop w:val="0"/>
                              <w:marBottom w:val="0"/>
                              <w:divBdr>
                                <w:top w:val="none" w:sz="0" w:space="0" w:color="auto"/>
                                <w:left w:val="none" w:sz="0" w:space="0" w:color="auto"/>
                                <w:bottom w:val="none" w:sz="0" w:space="0" w:color="auto"/>
                                <w:right w:val="none" w:sz="0" w:space="0" w:color="auto"/>
                              </w:divBdr>
                              <w:divsChild>
                                <w:div w:id="4090358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188665">
      <w:bodyDiv w:val="1"/>
      <w:marLeft w:val="0"/>
      <w:marRight w:val="0"/>
      <w:marTop w:val="0"/>
      <w:marBottom w:val="0"/>
      <w:divBdr>
        <w:top w:val="none" w:sz="0" w:space="0" w:color="auto"/>
        <w:left w:val="none" w:sz="0" w:space="0" w:color="auto"/>
        <w:bottom w:val="none" w:sz="0" w:space="0" w:color="auto"/>
        <w:right w:val="none" w:sz="0" w:space="0" w:color="auto"/>
      </w:divBdr>
    </w:div>
    <w:div w:id="1552887962">
      <w:bodyDiv w:val="1"/>
      <w:marLeft w:val="0"/>
      <w:marRight w:val="0"/>
      <w:marTop w:val="0"/>
      <w:marBottom w:val="0"/>
      <w:divBdr>
        <w:top w:val="none" w:sz="0" w:space="0" w:color="auto"/>
        <w:left w:val="none" w:sz="0" w:space="0" w:color="auto"/>
        <w:bottom w:val="none" w:sz="0" w:space="0" w:color="auto"/>
        <w:right w:val="none" w:sz="0" w:space="0" w:color="auto"/>
      </w:divBdr>
    </w:div>
    <w:div w:id="1579486911">
      <w:bodyDiv w:val="1"/>
      <w:marLeft w:val="0"/>
      <w:marRight w:val="0"/>
      <w:marTop w:val="0"/>
      <w:marBottom w:val="0"/>
      <w:divBdr>
        <w:top w:val="none" w:sz="0" w:space="0" w:color="auto"/>
        <w:left w:val="none" w:sz="0" w:space="0" w:color="auto"/>
        <w:bottom w:val="none" w:sz="0" w:space="0" w:color="auto"/>
        <w:right w:val="none" w:sz="0" w:space="0" w:color="auto"/>
      </w:divBdr>
    </w:div>
    <w:div w:id="1600868390">
      <w:bodyDiv w:val="1"/>
      <w:marLeft w:val="0"/>
      <w:marRight w:val="0"/>
      <w:marTop w:val="0"/>
      <w:marBottom w:val="0"/>
      <w:divBdr>
        <w:top w:val="none" w:sz="0" w:space="0" w:color="auto"/>
        <w:left w:val="none" w:sz="0" w:space="0" w:color="auto"/>
        <w:bottom w:val="none" w:sz="0" w:space="0" w:color="auto"/>
        <w:right w:val="none" w:sz="0" w:space="0" w:color="auto"/>
      </w:divBdr>
    </w:div>
    <w:div w:id="1631856416">
      <w:bodyDiv w:val="1"/>
      <w:marLeft w:val="0"/>
      <w:marRight w:val="0"/>
      <w:marTop w:val="0"/>
      <w:marBottom w:val="0"/>
      <w:divBdr>
        <w:top w:val="none" w:sz="0" w:space="0" w:color="auto"/>
        <w:left w:val="none" w:sz="0" w:space="0" w:color="auto"/>
        <w:bottom w:val="none" w:sz="0" w:space="0" w:color="auto"/>
        <w:right w:val="none" w:sz="0" w:space="0" w:color="auto"/>
      </w:divBdr>
    </w:div>
    <w:div w:id="1708069904">
      <w:bodyDiv w:val="1"/>
      <w:marLeft w:val="0"/>
      <w:marRight w:val="0"/>
      <w:marTop w:val="0"/>
      <w:marBottom w:val="0"/>
      <w:divBdr>
        <w:top w:val="none" w:sz="0" w:space="0" w:color="auto"/>
        <w:left w:val="none" w:sz="0" w:space="0" w:color="auto"/>
        <w:bottom w:val="none" w:sz="0" w:space="0" w:color="auto"/>
        <w:right w:val="none" w:sz="0" w:space="0" w:color="auto"/>
      </w:divBdr>
    </w:div>
    <w:div w:id="1803500970">
      <w:bodyDiv w:val="1"/>
      <w:marLeft w:val="0"/>
      <w:marRight w:val="0"/>
      <w:marTop w:val="0"/>
      <w:marBottom w:val="0"/>
      <w:divBdr>
        <w:top w:val="none" w:sz="0" w:space="0" w:color="auto"/>
        <w:left w:val="none" w:sz="0" w:space="0" w:color="auto"/>
        <w:bottom w:val="none" w:sz="0" w:space="0" w:color="auto"/>
        <w:right w:val="none" w:sz="0" w:space="0" w:color="auto"/>
      </w:divBdr>
    </w:div>
    <w:div w:id="1863275285">
      <w:bodyDiv w:val="1"/>
      <w:marLeft w:val="0"/>
      <w:marRight w:val="0"/>
      <w:marTop w:val="0"/>
      <w:marBottom w:val="0"/>
      <w:divBdr>
        <w:top w:val="none" w:sz="0" w:space="0" w:color="auto"/>
        <w:left w:val="none" w:sz="0" w:space="0" w:color="auto"/>
        <w:bottom w:val="none" w:sz="0" w:space="0" w:color="auto"/>
        <w:right w:val="none" w:sz="0" w:space="0" w:color="auto"/>
      </w:divBdr>
    </w:div>
    <w:div w:id="1874733305">
      <w:bodyDiv w:val="1"/>
      <w:marLeft w:val="0"/>
      <w:marRight w:val="0"/>
      <w:marTop w:val="0"/>
      <w:marBottom w:val="0"/>
      <w:divBdr>
        <w:top w:val="none" w:sz="0" w:space="0" w:color="auto"/>
        <w:left w:val="none" w:sz="0" w:space="0" w:color="auto"/>
        <w:bottom w:val="none" w:sz="0" w:space="0" w:color="auto"/>
        <w:right w:val="none" w:sz="0" w:space="0" w:color="auto"/>
      </w:divBdr>
    </w:div>
    <w:div w:id="1918128968">
      <w:bodyDiv w:val="1"/>
      <w:marLeft w:val="0"/>
      <w:marRight w:val="0"/>
      <w:marTop w:val="0"/>
      <w:marBottom w:val="0"/>
      <w:divBdr>
        <w:top w:val="none" w:sz="0" w:space="0" w:color="auto"/>
        <w:left w:val="none" w:sz="0" w:space="0" w:color="auto"/>
        <w:bottom w:val="none" w:sz="0" w:space="0" w:color="auto"/>
        <w:right w:val="none" w:sz="0" w:space="0" w:color="auto"/>
      </w:divBdr>
    </w:div>
    <w:div w:id="2022118223">
      <w:bodyDiv w:val="1"/>
      <w:marLeft w:val="0"/>
      <w:marRight w:val="0"/>
      <w:marTop w:val="0"/>
      <w:marBottom w:val="0"/>
      <w:divBdr>
        <w:top w:val="none" w:sz="0" w:space="0" w:color="auto"/>
        <w:left w:val="none" w:sz="0" w:space="0" w:color="auto"/>
        <w:bottom w:val="none" w:sz="0" w:space="0" w:color="auto"/>
        <w:right w:val="none" w:sz="0" w:space="0" w:color="auto"/>
      </w:divBdr>
    </w:div>
    <w:div w:id="2051302002">
      <w:bodyDiv w:val="1"/>
      <w:marLeft w:val="0"/>
      <w:marRight w:val="0"/>
      <w:marTop w:val="0"/>
      <w:marBottom w:val="0"/>
      <w:divBdr>
        <w:top w:val="none" w:sz="0" w:space="0" w:color="auto"/>
        <w:left w:val="none" w:sz="0" w:space="0" w:color="auto"/>
        <w:bottom w:val="none" w:sz="0" w:space="0" w:color="auto"/>
        <w:right w:val="none" w:sz="0" w:space="0" w:color="auto"/>
      </w:divBdr>
      <w:divsChild>
        <w:div w:id="1589193791">
          <w:marLeft w:val="0"/>
          <w:marRight w:val="0"/>
          <w:marTop w:val="0"/>
          <w:marBottom w:val="0"/>
          <w:divBdr>
            <w:top w:val="none" w:sz="0" w:space="0" w:color="auto"/>
            <w:left w:val="none" w:sz="0" w:space="0" w:color="auto"/>
            <w:bottom w:val="none" w:sz="0" w:space="0" w:color="auto"/>
            <w:right w:val="none" w:sz="0" w:space="0" w:color="auto"/>
          </w:divBdr>
          <w:divsChild>
            <w:div w:id="1832990513">
              <w:marLeft w:val="0"/>
              <w:marRight w:val="0"/>
              <w:marTop w:val="0"/>
              <w:marBottom w:val="0"/>
              <w:divBdr>
                <w:top w:val="none" w:sz="0" w:space="0" w:color="auto"/>
                <w:left w:val="none" w:sz="0" w:space="0" w:color="auto"/>
                <w:bottom w:val="none" w:sz="0" w:space="0" w:color="auto"/>
                <w:right w:val="none" w:sz="0" w:space="0" w:color="auto"/>
              </w:divBdr>
              <w:divsChild>
                <w:div w:id="1288703286">
                  <w:marLeft w:val="0"/>
                  <w:marRight w:val="0"/>
                  <w:marTop w:val="0"/>
                  <w:marBottom w:val="0"/>
                  <w:divBdr>
                    <w:top w:val="none" w:sz="0" w:space="0" w:color="auto"/>
                    <w:left w:val="none" w:sz="0" w:space="0" w:color="auto"/>
                    <w:bottom w:val="none" w:sz="0" w:space="0" w:color="auto"/>
                    <w:right w:val="none" w:sz="0" w:space="0" w:color="auto"/>
                  </w:divBdr>
                  <w:divsChild>
                    <w:div w:id="1310474707">
                      <w:marLeft w:val="0"/>
                      <w:marRight w:val="0"/>
                      <w:marTop w:val="0"/>
                      <w:marBottom w:val="0"/>
                      <w:divBdr>
                        <w:top w:val="none" w:sz="0" w:space="0" w:color="auto"/>
                        <w:left w:val="none" w:sz="0" w:space="0" w:color="auto"/>
                        <w:bottom w:val="none" w:sz="0" w:space="0" w:color="auto"/>
                        <w:right w:val="none" w:sz="0" w:space="0" w:color="auto"/>
                      </w:divBdr>
                      <w:divsChild>
                        <w:div w:id="89543728">
                          <w:marLeft w:val="3135"/>
                          <w:marRight w:val="150"/>
                          <w:marTop w:val="0"/>
                          <w:marBottom w:val="0"/>
                          <w:divBdr>
                            <w:top w:val="none" w:sz="0" w:space="0" w:color="auto"/>
                            <w:left w:val="none" w:sz="0" w:space="0" w:color="auto"/>
                            <w:bottom w:val="none" w:sz="0" w:space="0" w:color="auto"/>
                            <w:right w:val="none" w:sz="0" w:space="0" w:color="auto"/>
                          </w:divBdr>
                          <w:divsChild>
                            <w:div w:id="1399015946">
                              <w:marLeft w:val="0"/>
                              <w:marRight w:val="0"/>
                              <w:marTop w:val="0"/>
                              <w:marBottom w:val="0"/>
                              <w:divBdr>
                                <w:top w:val="none" w:sz="0" w:space="0" w:color="auto"/>
                                <w:left w:val="none" w:sz="0" w:space="0" w:color="auto"/>
                                <w:bottom w:val="none" w:sz="0" w:space="0" w:color="auto"/>
                                <w:right w:val="none" w:sz="0" w:space="0" w:color="auto"/>
                              </w:divBdr>
                              <w:divsChild>
                                <w:div w:id="10645233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rgy.ca.gov/ab1007/documents/ab_1007_bill_20050929_chaptered.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sc.ca.gov/CALGreen/default.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6764C935</Template>
  <TotalTime>0</TotalTime>
  <Pages>30</Pages>
  <Words>12571</Words>
  <Characters>71656</Characters>
  <Application>Microsoft Office Word</Application>
  <DocSecurity>4</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Pacific Portraits by Amber</Company>
  <LinksUpToDate>false</LinksUpToDate>
  <CharactersWithSpaces>84059</CharactersWithSpaces>
  <SharedDoc>false</SharedDoc>
  <HLinks>
    <vt:vector size="12" baseType="variant">
      <vt:variant>
        <vt:i4>2883704</vt:i4>
      </vt:variant>
      <vt:variant>
        <vt:i4>3</vt:i4>
      </vt:variant>
      <vt:variant>
        <vt:i4>0</vt:i4>
      </vt:variant>
      <vt:variant>
        <vt:i4>5</vt:i4>
      </vt:variant>
      <vt:variant>
        <vt:lpwstr>http://www.bsc.ca.gov/CALGreen/default.htm</vt:lpwstr>
      </vt:variant>
      <vt:variant>
        <vt:lpwstr/>
      </vt:variant>
      <vt:variant>
        <vt:i4>5046359</vt:i4>
      </vt:variant>
      <vt:variant>
        <vt:i4>0</vt:i4>
      </vt:variant>
      <vt:variant>
        <vt:i4>0</vt:i4>
      </vt:variant>
      <vt:variant>
        <vt:i4>5</vt:i4>
      </vt:variant>
      <vt:variant>
        <vt:lpwstr>http://www.energy.ca.gov/ab1007/documents/ab_1007_bill_20050929_chaptered.pdf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and Amber McMurtry</dc:creator>
  <cp:lastModifiedBy>Vicki Parker</cp:lastModifiedBy>
  <cp:revision>2</cp:revision>
  <cp:lastPrinted>2008-09-09T16:00:00Z</cp:lastPrinted>
  <dcterms:created xsi:type="dcterms:W3CDTF">2015-08-07T22:12:00Z</dcterms:created>
  <dcterms:modified xsi:type="dcterms:W3CDTF">2015-08-07T22:12:00Z</dcterms:modified>
</cp:coreProperties>
</file>