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CC1" w:rsidRPr="004E347A" w:rsidRDefault="002C1CC1" w:rsidP="002C1CC1">
      <w:bookmarkStart w:id="0" w:name="_GoBack"/>
      <w:bookmarkEnd w:id="0"/>
      <w:r w:rsidRPr="004E347A">
        <w:t xml:space="preserve">Cultural Resources are defined as buildings, sites, structures, or objects that may have historical, architectural, archaeological, cultural, or scientific importance. Preservation of the City’s cultural heritage should be considered when planning for the future. </w:t>
      </w:r>
    </w:p>
    <w:p w:rsidR="002C1CC1" w:rsidRPr="004E347A" w:rsidRDefault="002C1CC1" w:rsidP="002C1CC1">
      <w:r w:rsidRPr="004E347A">
        <w:t xml:space="preserve">This section provides a background discussion of the prehistory, ethnology, historical period background, and cultural resources found in Cotati. This section is organized with an existing setting, regulatory setting, and impact analysis. No comments regarding cultural resources were received during the Notice of Preparation scoping period for the EIR. </w:t>
      </w:r>
    </w:p>
    <w:p w:rsidR="002C1CC1" w:rsidRPr="004E347A" w:rsidRDefault="002C1CC1" w:rsidP="002C1CC1">
      <w:pPr>
        <w:pStyle w:val="Heading4"/>
      </w:pPr>
      <w:r w:rsidRPr="004E347A">
        <w:t>Key Terms</w:t>
      </w:r>
    </w:p>
    <w:p w:rsidR="002C1CC1" w:rsidRPr="004E347A" w:rsidRDefault="002C1CC1" w:rsidP="002C1CC1">
      <w:r w:rsidRPr="004E347A">
        <w:rPr>
          <w:b/>
        </w:rPr>
        <w:t>Archaeology.</w:t>
      </w:r>
      <w:r w:rsidRPr="004E347A">
        <w:t xml:space="preserve"> The study of historic or prehistoric peoples and their cultures by analysis of their artifacts and monuments. </w:t>
      </w:r>
    </w:p>
    <w:p w:rsidR="002C1CC1" w:rsidRPr="004E347A" w:rsidRDefault="002C1CC1" w:rsidP="002C1CC1">
      <w:r w:rsidRPr="004E347A">
        <w:rPr>
          <w:b/>
        </w:rPr>
        <w:t>Paleontology.</w:t>
      </w:r>
      <w:r w:rsidRPr="004E347A">
        <w:t xml:space="preserve"> The science of the forms of life existing in former geologic periods, as represented by their fossils.</w:t>
      </w:r>
    </w:p>
    <w:p w:rsidR="002C1CC1" w:rsidRPr="004E347A" w:rsidRDefault="002C1CC1" w:rsidP="002C1CC1">
      <w:r w:rsidRPr="004E347A">
        <w:rPr>
          <w:b/>
        </w:rPr>
        <w:t>Ethnography.</w:t>
      </w:r>
      <w:r w:rsidRPr="004E347A">
        <w:t xml:space="preserve"> The study of contemporary human cultures. </w:t>
      </w:r>
    </w:p>
    <w:p w:rsidR="002C1CC1" w:rsidRPr="004E347A" w:rsidRDefault="002C1CC1" w:rsidP="002C1CC1">
      <w:r w:rsidRPr="004E347A">
        <w:rPr>
          <w:b/>
        </w:rPr>
        <w:t>Complex.</w:t>
      </w:r>
      <w:r w:rsidRPr="004E347A">
        <w:t xml:space="preserve"> A patterned grouping of similar artifact assemblages from two or more sites, presumed to represent an archaeological culture. </w:t>
      </w:r>
    </w:p>
    <w:p w:rsidR="002C1CC1" w:rsidRPr="004E347A" w:rsidRDefault="002C1CC1" w:rsidP="002C1CC1">
      <w:r w:rsidRPr="004E347A">
        <w:rPr>
          <w:b/>
        </w:rPr>
        <w:t>Midden.</w:t>
      </w:r>
      <w:r w:rsidRPr="004E347A">
        <w:t xml:space="preserve"> A deposit marking a former habitation site and containing such materials as discarded artifacts, bone and shell fragments, food refuse, charcoal, ash, rock, human remains, structural remnants, and other cultural leavings.</w:t>
      </w:r>
    </w:p>
    <w:p w:rsidR="002C1CC1" w:rsidRPr="004E347A" w:rsidRDefault="002C1CC1" w:rsidP="002C1CC1">
      <w:pPr>
        <w:pStyle w:val="Heading2"/>
        <w:keepNext/>
      </w:pPr>
      <w:r w:rsidRPr="004E347A">
        <w:t>3.4.1 Environmental Setting</w:t>
      </w:r>
    </w:p>
    <w:p w:rsidR="002C1CC1" w:rsidRPr="004E347A" w:rsidRDefault="002C1CC1" w:rsidP="002C1CC1">
      <w:pPr>
        <w:pStyle w:val="Heading3"/>
      </w:pPr>
      <w:r w:rsidRPr="004E347A">
        <w:t>Prehistory</w:t>
      </w:r>
    </w:p>
    <w:p w:rsidR="002C1CC1" w:rsidRDefault="002C1CC1" w:rsidP="002C1CC1">
      <w:r w:rsidRPr="00E82CBF">
        <w:t>Archeolog</w:t>
      </w:r>
      <w:r>
        <w:t xml:space="preserve">ical evidence shows that California was inhabited </w:t>
      </w:r>
      <w:r w:rsidRPr="00E82CBF">
        <w:t xml:space="preserve">at least </w:t>
      </w:r>
      <w:r>
        <w:t>12,000 years ago and possibly as much as 15,000 years ago (Erlandson et al. 2007), with</w:t>
      </w:r>
      <w:r w:rsidRPr="00E82CBF">
        <w:t xml:space="preserve"> </w:t>
      </w:r>
      <w:r>
        <w:t>people</w:t>
      </w:r>
      <w:r w:rsidRPr="00E82CBF">
        <w:t xml:space="preserve"> living along the </w:t>
      </w:r>
      <w:r>
        <w:t>Laguna de Santa Rosa west of Cotati by 11,000 years ago (Dowdall and Origer 1997)</w:t>
      </w:r>
      <w:r w:rsidRPr="00E82CBF">
        <w:t>.</w:t>
      </w:r>
      <w:r>
        <w:t xml:space="preserve"> </w:t>
      </w:r>
    </w:p>
    <w:p w:rsidR="002C1CC1" w:rsidRDefault="002C1CC1" w:rsidP="002C1CC1">
      <w:r>
        <w:t xml:space="preserve">Information generated by numerous regional site investigations provided Fredrickson (1974, 1994) with data used to develop one of the more recent chronologies applicable to this portion of California’s North Coast Ranges. The following chronology is based largely on Fredrickson’s (1974, 1994) research with modifications based on recent research. </w:t>
      </w:r>
    </w:p>
    <w:p w:rsidR="002C1CC1" w:rsidRPr="001E23A6" w:rsidRDefault="002C1CC1" w:rsidP="002C1CC1">
      <w:pPr>
        <w:pStyle w:val="Heading4"/>
      </w:pPr>
      <w:r w:rsidRPr="001E23A6">
        <w:t xml:space="preserve">Paleo-Indian Period (ca. 8,000 – </w:t>
      </w:r>
      <w:r>
        <w:t>12,000+ years ago</w:t>
      </w:r>
      <w:r w:rsidRPr="001E23A6">
        <w:t>)</w:t>
      </w:r>
    </w:p>
    <w:p w:rsidR="002C1CC1" w:rsidRDefault="002C1CC1" w:rsidP="002C1CC1">
      <w:r w:rsidRPr="00492662">
        <w:t>This is the time when humans first entered California. Lakeside sites established with probable emphasis on hunting. Milling technology is lacking. Exchange of goods on a one to one basis and not regularized. Social units consisted of extended families that w</w:t>
      </w:r>
      <w:r>
        <w:t>ere</w:t>
      </w:r>
      <w:r w:rsidRPr="00492662">
        <w:t xml:space="preserve"> largely self-reliant, and moved to resources as they became available and were needed. </w:t>
      </w:r>
    </w:p>
    <w:p w:rsidR="002C1CC1" w:rsidRDefault="002C1CC1" w:rsidP="002C1CC1">
      <w:pPr>
        <w:pStyle w:val="Heading5"/>
      </w:pPr>
    </w:p>
    <w:p w:rsidR="002C1CC1" w:rsidRPr="001E23A6" w:rsidRDefault="002C1CC1" w:rsidP="002C1CC1">
      <w:pPr>
        <w:pStyle w:val="Heading4"/>
      </w:pPr>
      <w:r w:rsidRPr="001E23A6">
        <w:lastRenderedPageBreak/>
        <w:t xml:space="preserve">Archaic Period (ca. 1,000 – </w:t>
      </w:r>
      <w:r>
        <w:t>8,000</w:t>
      </w:r>
      <w:r w:rsidRPr="001E23A6">
        <w:t xml:space="preserve"> years ago) </w:t>
      </w:r>
    </w:p>
    <w:p w:rsidR="002C1CC1" w:rsidRPr="00492662" w:rsidRDefault="002C1CC1" w:rsidP="002C1CC1">
      <w:r w:rsidRPr="00492662">
        <w:t xml:space="preserve">Lower Archaic Period characteristics include lakes drying due to climatic changes. Abundant milling stones suggest emphasis on plants/small seeds for food, and little hunting occurred. Limited exchange took place, and there was a reliance on the use of local materials. Wealth </w:t>
      </w:r>
      <w:r>
        <w:t xml:space="preserve">was </w:t>
      </w:r>
      <w:r w:rsidRPr="00492662">
        <w:t>not emphasized, and the dominant social unit appears to be the extended family.</w:t>
      </w:r>
      <w:r>
        <w:t xml:space="preserve"> </w:t>
      </w:r>
    </w:p>
    <w:p w:rsidR="002C1CC1" w:rsidRDefault="002C1CC1" w:rsidP="002C1CC1">
      <w:r w:rsidRPr="00492662">
        <w:t xml:space="preserve">Middle Archaic Period characteristics include a change in the climate, which became more benign. Economy became more diverse. Acorn use </w:t>
      </w:r>
      <w:r>
        <w:t xml:space="preserve">was </w:t>
      </w:r>
      <w:r w:rsidRPr="00492662">
        <w:t>introduced as suggested by mortars and pestles. Hunting was important as evidence by the abundance of dart tips. Sedentism began along with increased population and expansion.</w:t>
      </w:r>
    </w:p>
    <w:p w:rsidR="002C1CC1" w:rsidRPr="00492662" w:rsidRDefault="002C1CC1" w:rsidP="002C1CC1">
      <w:r w:rsidRPr="00492662">
        <w:t>Upper Archaic Period characteristics include the growth of social-political complexity with status distinctions based on wealth. Shell beads gain importance and they appear to serve as indicators of both exchange and wealth. Group-oriented religious organizations emerge with possible origin of Kuksu religious system. Exchange systems bec</w:t>
      </w:r>
      <w:r>
        <w:t>a</w:t>
      </w:r>
      <w:r w:rsidRPr="00492662">
        <w:t>me more complex with regularized sustained exchanges occurring between groups. Territorial boundaries were fluid.</w:t>
      </w:r>
    </w:p>
    <w:p w:rsidR="002C1CC1" w:rsidRPr="001E23A6" w:rsidRDefault="002C1CC1" w:rsidP="002C1CC1">
      <w:pPr>
        <w:pStyle w:val="Heading4"/>
      </w:pPr>
      <w:r w:rsidRPr="001E23A6">
        <w:t xml:space="preserve">Emergent Period (ca. 200 – </w:t>
      </w:r>
      <w:r>
        <w:t>1,000 years ago</w:t>
      </w:r>
      <w:r w:rsidRPr="001E23A6">
        <w:t>)</w:t>
      </w:r>
    </w:p>
    <w:p w:rsidR="002C1CC1" w:rsidRDefault="002C1CC1" w:rsidP="002C1CC1">
      <w:r w:rsidRPr="00492662">
        <w:t xml:space="preserve">Lower Emergent Period characteristics included the introduction of the bow and arrow, which largely replaced the dart and atlatl. South coast marine adaptations flourished. Territorial boundaries became well established, and regularized exchange between groups continued with increased goods being exchanged. Increasing evidence </w:t>
      </w:r>
      <w:r>
        <w:t xml:space="preserve">is </w:t>
      </w:r>
      <w:r w:rsidRPr="00492662">
        <w:t>found of distinctions in social status linked to wealth.</w:t>
      </w:r>
    </w:p>
    <w:p w:rsidR="002C1CC1" w:rsidRPr="00492662" w:rsidRDefault="002C1CC1" w:rsidP="002C1CC1">
      <w:r w:rsidRPr="00492662">
        <w:t>Upper Emergent Period characteristics include the appearance of the clam disk bead money economy. Increasingly</w:t>
      </w:r>
      <w:r>
        <w:t>,</w:t>
      </w:r>
      <w:r w:rsidRPr="00492662">
        <w:t xml:space="preserve"> more goods were moved farther. Local specialization with regard to production and exchange of goods grew. South and central exchange systems were interpenetrated.</w:t>
      </w:r>
    </w:p>
    <w:p w:rsidR="002C1CC1" w:rsidRDefault="002C1CC1" w:rsidP="002C1CC1">
      <w:pPr>
        <w:pStyle w:val="Heading3"/>
      </w:pPr>
      <w:r>
        <w:t>Ethnology</w:t>
      </w:r>
    </w:p>
    <w:p w:rsidR="002C1CC1" w:rsidRPr="00E82CBF" w:rsidRDefault="002C1CC1" w:rsidP="002C1CC1">
      <w:pPr>
        <w:pStyle w:val="Heading4"/>
      </w:pPr>
      <w:r>
        <w:t>Coast Miwok</w:t>
      </w:r>
    </w:p>
    <w:p w:rsidR="002C1CC1" w:rsidRPr="00E82CBF" w:rsidRDefault="002C1CC1" w:rsidP="002C1CC1">
      <w:r>
        <w:t>At the time of European incursion, the</w:t>
      </w:r>
      <w:r w:rsidRPr="00E82CBF">
        <w:t xml:space="preserve"> </w:t>
      </w:r>
      <w:r>
        <w:t>Coast Miwok occupied a territory that extended from the Golden Gate north into southern Sonoma County, and from the Pacific Ocean to the ridge dividing Sonoma and Napa counties. Over 40 named villages were identified within this territory during the early 20</w:t>
      </w:r>
      <w:r w:rsidRPr="001B18B8">
        <w:rPr>
          <w:vertAlign w:val="superscript"/>
        </w:rPr>
        <w:t>th</w:t>
      </w:r>
      <w:r>
        <w:t xml:space="preserve"> century (Kroeber 1925). This area encompassed what is now the City of Cotati, which takes its name from the Miwok village that was located north of the current town (Barrett 1908).</w:t>
      </w:r>
    </w:p>
    <w:p w:rsidR="002C1CC1" w:rsidRPr="00E82CBF" w:rsidRDefault="002C1CC1" w:rsidP="002C1CC1">
      <w:r w:rsidRPr="00E82CBF">
        <w:t xml:space="preserve">Politically, the </w:t>
      </w:r>
      <w:r>
        <w:t>Coast Miwok</w:t>
      </w:r>
      <w:r w:rsidRPr="00E82CBF">
        <w:t xml:space="preserve"> were organized in </w:t>
      </w:r>
      <w:r>
        <w:t>“territorial, multi-family, landholding communities”</w:t>
      </w:r>
      <w:r w:rsidRPr="00E82CBF">
        <w:t xml:space="preserve"> or tribelets, each </w:t>
      </w:r>
      <w:r>
        <w:t>with multiple villages of relatively even size (Milliken 2010)</w:t>
      </w:r>
      <w:r w:rsidRPr="00E82CBF">
        <w:t>.</w:t>
      </w:r>
      <w:r>
        <w:t xml:space="preserve"> </w:t>
      </w:r>
      <w:r w:rsidRPr="00E82CBF">
        <w:t>Territories were vaguely defined, but included fishing and gathering areas used by the group.</w:t>
      </w:r>
      <w:r>
        <w:t xml:space="preserve"> Tribelets had a headman, who advised the people. This was not a hereditary position. Two female leaders saw to the coordination and execution of major group</w:t>
      </w:r>
      <w:r w:rsidRPr="00E82CBF">
        <w:t xml:space="preserve"> activities</w:t>
      </w:r>
      <w:r>
        <w:t xml:space="preserve"> such as dances, ceremonial activities, and </w:t>
      </w:r>
      <w:r>
        <w:lastRenderedPageBreak/>
        <w:t xml:space="preserve">construction of a new dance house. One of these was said to be in charge of everyone, even the headman </w:t>
      </w:r>
      <w:r w:rsidRPr="00E82CBF">
        <w:t>(</w:t>
      </w:r>
      <w:r>
        <w:t>Kelly</w:t>
      </w:r>
      <w:r w:rsidRPr="00E82CBF">
        <w:t xml:space="preserve"> 1978:</w:t>
      </w:r>
      <w:r>
        <w:t>419</w:t>
      </w:r>
      <w:r w:rsidRPr="00E82CBF">
        <w:t>).</w:t>
      </w:r>
    </w:p>
    <w:p w:rsidR="002C1CC1" w:rsidRDefault="002C1CC1" w:rsidP="002C1CC1">
      <w:r>
        <w:t>Fish, mussels, clams, and seaweeds were major food sources, with winter runs of salmon and steelhead being especially important. Land mammals including deer, bears, rabbits, wood rats, and gophers were also eaten. Acorns were a staple food source, with tan oak (</w:t>
      </w:r>
      <w:r w:rsidRPr="005414B6">
        <w:rPr>
          <w:i/>
        </w:rPr>
        <w:t>Lithocarpus densiflora</w:t>
      </w:r>
      <w:r>
        <w:t>) being preferred for mush, and valley oak (</w:t>
      </w:r>
      <w:r w:rsidRPr="005414B6">
        <w:rPr>
          <w:i/>
        </w:rPr>
        <w:t>Quercus lobata)</w:t>
      </w:r>
      <w:r>
        <w:t xml:space="preserve"> for bread.</w:t>
      </w:r>
    </w:p>
    <w:p w:rsidR="002C1CC1" w:rsidRDefault="002C1CC1" w:rsidP="002C1CC1">
      <w:pPr>
        <w:pStyle w:val="Heading3"/>
      </w:pPr>
      <w:r w:rsidRPr="00737744">
        <w:t>Historic Period Background</w:t>
      </w:r>
    </w:p>
    <w:p w:rsidR="002C1CC1" w:rsidRDefault="002C1CC1" w:rsidP="002C1CC1">
      <w:r>
        <w:t>The earliest attempt at non-native settlement in the area was by John Reed in 1827, who built a house and planted a grain crop. However, his crop fell victim to the Native American practice of seasonally burning the grassland to improve the seed production. Reed left the area, settling in Marin County and becoming quite successful.</w:t>
      </w:r>
    </w:p>
    <w:p w:rsidR="002C1CC1" w:rsidRDefault="002C1CC1" w:rsidP="002C1CC1">
      <w:r>
        <w:t xml:space="preserve">The Cotate Rancho was a large land grant, given by the Mexican government to Captain Juan Castaneda, that changed hands several times until it was purchased by Dr. Thomas Page in 1849.  The Cotate Rancho remained relatively intact during Page’s lifetime despite the fact that some 4,500 acres of land was siphoned off by squatters, some of whom eventually paid Page for their land. Upon his death in 1872, Page left his heirs the Cotate grant stipulating that the rancho could not be divided until his youngest son, William, reached the age of 25. When William Page reached the appointed age in 1892 the sons were ready to begin dividing the rancho. Settlement in this southern Sonoma County community centered on newly formed Cotati, whose town plan was designed by Newton Smyth circa 1892. Unique for its hexagonal form, this was one of only two such town plats in the United States. In the 1898 county atlas (Reynolds and Proctor 1898:36), the San Francisco-based Cotati Company advertised 8,000 acres of the rancho for sale. </w:t>
      </w:r>
    </w:p>
    <w:p w:rsidR="002C1CC1" w:rsidRDefault="002C1CC1" w:rsidP="002C1CC1">
      <w:pPr>
        <w:tabs>
          <w:tab w:val="left" w:pos="5760"/>
        </w:tabs>
      </w:pPr>
      <w:r>
        <w:t xml:space="preserve">During the latter part of the nineteenth century, there was a notable trend toward division of large holdings in and around the Cotati General Plan area. The earliest of these subdivisions broke large tracts of land into smaller farm parcels “large enough to accommodate a successful farming venture” (Praetzellis </w:t>
      </w:r>
      <w:r>
        <w:rPr>
          <w:i/>
        </w:rPr>
        <w:t>et al.</w:t>
      </w:r>
      <w:r>
        <w:t xml:space="preserve"> 1989:18). The Cotati Company capitalized on this trend beginning in 1892 as the Page heirs divided the rancho lands into progressively smaller farm lots, with town lots focused around the plaza. </w:t>
      </w:r>
    </w:p>
    <w:p w:rsidR="002C1CC1" w:rsidRDefault="002C1CC1" w:rsidP="002C1CC1">
      <w:r>
        <w:t>A boon to the Cotati Company was the chicken ranching phenomenon that swept southern Sonoma County at the end of the 19th and beginning of the 20th centuries. While it was always a farming community, many families were drawn to the area by contemporary booster literature proclaiming poultry raising to be a profitable and near effortless pursuit. During the early part of the twentieth century, small-scale family-owned chicken ranches appeared throughout the southern part of the county and Cotati, as well as Petaluma, was a prime poultry area. The following excerpt appeared in a brochure published by The California Promotion Committee during the early part of the twentieth century.</w:t>
      </w:r>
    </w:p>
    <w:p w:rsidR="002C1CC1" w:rsidRPr="001641B7" w:rsidRDefault="002C1CC1" w:rsidP="002C1CC1">
      <w:pPr>
        <w:ind w:left="720" w:right="720"/>
        <w:rPr>
          <w:i/>
        </w:rPr>
      </w:pPr>
      <w:r>
        <w:rPr>
          <w:i/>
        </w:rPr>
        <w:t>"</w:t>
      </w:r>
      <w:r w:rsidRPr="001641B7">
        <w:rPr>
          <w:i/>
        </w:rPr>
        <w:t xml:space="preserve">Cotati’s chief industry is poultry and eggs. Cotati ships over 500 cases of eggs weekly, while from her outskirts and suburbs, many other hundreds are shipped. On every side and slope, in sun and shade, by brook and glade, can be heard and </w:t>
      </w:r>
      <w:r w:rsidRPr="001641B7">
        <w:rPr>
          <w:i/>
        </w:rPr>
        <w:lastRenderedPageBreak/>
        <w:t>seen the lay of the Leghorn hen. In Cotati every phase of the chicken industry is carried on as its profitable side appeals to the person so engaged. Here can be seen ranches varying in size from 5 to 50 acres, and from 500 to 10,000 or 12,000 hens. The widow, the spinster, the bachelor, the man of family can all be found in Cotati, and all engaged in the poultry business [The California Promotion Committee circa 1900].</w:t>
      </w:r>
      <w:r>
        <w:rPr>
          <w:i/>
        </w:rPr>
        <w:t>"</w:t>
      </w:r>
    </w:p>
    <w:p w:rsidR="005B5F88" w:rsidRDefault="002C1CC1" w:rsidP="005B5F88">
      <w:r>
        <w:t>As the twentieth century progressed, lots created through the subdivisions of the rancho lands were generally too small to provide a family’s primary source of income. Work outside the home became increasingly necessary to sustain a family’ economic viability, and there was greater reliance on goods sold at retail outlets. While in the past, large farms and ranches were relatively self-sufficient, families living on these small farms could now not meet all of their own needs.</w:t>
      </w:r>
    </w:p>
    <w:p w:rsidR="002C1CC1" w:rsidRDefault="002C1CC1" w:rsidP="002C1CC1">
      <w:pPr>
        <w:tabs>
          <w:tab w:val="left" w:pos="5760"/>
        </w:tabs>
      </w:pPr>
      <w:r>
        <w:t xml:space="preserve">Division of rural lands also brought with it an increase in the number of people living in areas isolated from amenities readily found in town. As families began moving into the newly created rural subdivisions, the need for nearby groceries and supplies also grew. It was during this time frame that many small rural stores and shops opened their doors to provide needed supplies and services. </w:t>
      </w:r>
    </w:p>
    <w:p w:rsidR="002C1CC1" w:rsidRDefault="002C1CC1" w:rsidP="002C1CC1">
      <w:r>
        <w:t>During the early years of the 20th century, the nearest railroad access for Cotati farmers was the Petaluma and Santa Rosa electric railroad that traveled along Stony Point Road, west of town. Farmers were forced to leave their products on the side of the track to await shipment because there was no depot. A group known as The Cotati Progressive League convinced the Northwestern Pacific Railroad that a depot was needed in Cotati, and in 1907 the Cotati Depot was opened at the former Page’s Station (Breen 1914). For a while, it looked like the Petaluma &amp; Santa Rosa line might send a spur into Cotati but the plan eventually was dropped.</w:t>
      </w:r>
    </w:p>
    <w:p w:rsidR="002C1CC1" w:rsidRDefault="002C1CC1" w:rsidP="002C1CC1">
      <w:pPr>
        <w:tabs>
          <w:tab w:val="left" w:pos="5760"/>
        </w:tabs>
      </w:pPr>
      <w:r>
        <w:t xml:space="preserve">In the next decade, work on State Highway 1 (now 101) commenced, and by 1929 the Redwood Highway was paved from the Sausalito Ferry terminal to Cloverdale (LeBaron and Mitchell 1993:35). For a while it was not clear whether Cotati would profit from the highway, as an alternate route was proposed that would have shifted the present-day alignment to the east. Once the decision was made to route the new road through Cotati, local businesses rallied to make the town an interesting, if not the largest, stop along the Redwood Highway. Old businesses were expanded, and new shops sprang up in Cotati, many incorporating the Spanish Revival architecture promoted for use along the highway. </w:t>
      </w:r>
    </w:p>
    <w:p w:rsidR="002C1CC1" w:rsidRDefault="002C1CC1" w:rsidP="002C1CC1">
      <w:r>
        <w:t xml:space="preserve">In the early 1960s, two important events occurred in the Cotati area: the state chose a tract of land at the end of East Cotati Avenue as the site of a new state college, and Cotati incorporated as a city. When Sonoma State University opened the doors of its new campus in 1966, Cotati saw an immediate increase in its population, and the town became a popular gathering area for students. During the 1970s, it was a magnet for counter culture groups, and many downtown businesses catered to the student crowd. </w:t>
      </w:r>
    </w:p>
    <w:p w:rsidR="00DF6A1D" w:rsidRDefault="00DF6A1D" w:rsidP="002C1CC1">
      <w:pPr>
        <w:pStyle w:val="Heading3"/>
      </w:pPr>
    </w:p>
    <w:p w:rsidR="002C1CC1" w:rsidRDefault="002C1CC1" w:rsidP="002C1CC1">
      <w:pPr>
        <w:pStyle w:val="Heading3"/>
      </w:pPr>
      <w:r>
        <w:lastRenderedPageBreak/>
        <w:t>Cultural Resources in Cotati</w:t>
      </w:r>
    </w:p>
    <w:p w:rsidR="002C1CC1" w:rsidRDefault="002C1CC1" w:rsidP="002C1CC1">
      <w:r>
        <w:t xml:space="preserve">There have been 75 cultural resources studies completed within the Sphere of Influence (SOI). These studies cover approximately </w:t>
      </w:r>
      <w:r w:rsidRPr="009D49F2">
        <w:t>ten</w:t>
      </w:r>
      <w:r>
        <w:t xml:space="preserve"> percent of the Planning Area. Twenty-three buildings in downtown Cotati are considered noteworthy by local residents, and have been included in a self-guided walking tour brochure produced by the Cotati Chamber of Commerce. These buildings are not sufficiently closely grouped or thematically related to be considered as a historic district; however, they do comprise a substantial concentration of early 20</w:t>
      </w:r>
      <w:r w:rsidRPr="009D49F2">
        <w:rPr>
          <w:vertAlign w:val="superscript"/>
        </w:rPr>
        <w:t>th</w:t>
      </w:r>
      <w:r>
        <w:t xml:space="preserve"> century structures in a relatively localized area. Additional buildings old enough to be potentially eligible for inclusion on the California Register are found in the greater downtown area. Only the Plaza has been formally designated an historical resource. La Plaza is listed as a California Historical Landmark (number 879) for its hexagonal shape. It is one of only two town centers in the U.S designed on the six-sided form.</w:t>
      </w:r>
    </w:p>
    <w:p w:rsidR="002C1CC1" w:rsidRDefault="002C1CC1" w:rsidP="002C1CC1">
      <w:r>
        <w:t>Table 3.4</w:t>
      </w:r>
      <w:r w:rsidRPr="00E02916">
        <w:t>-</w:t>
      </w:r>
      <w:r>
        <w:t>1 lists 47 buildings from the late 19</w:t>
      </w:r>
      <w:r w:rsidRPr="00FA7DE2">
        <w:rPr>
          <w:vertAlign w:val="superscript"/>
        </w:rPr>
        <w:t>th</w:t>
      </w:r>
      <w:r>
        <w:t xml:space="preserve"> and early 20</w:t>
      </w:r>
      <w:r w:rsidRPr="00FA7DE2">
        <w:rPr>
          <w:vertAlign w:val="superscript"/>
        </w:rPr>
        <w:t>th</w:t>
      </w:r>
      <w:r>
        <w:t xml:space="preserve"> centuries that have the potential to meet criteria for inclusion on the California Register of Historical Resources. Those with an HPD notation in the ‘Notes’ column have been evaluated for the National Register of Historic Places, but have not been considered for state or local listing. The buildings at 100 Valparaiso were evaluated and the house appeared eligible for listing on the California Register, however, a fire destroyed much of the historic fabric, and its eligibility has been compromised. The remaining buildings have not been evaluated for any form of listing. In each case, these buildings should be formally evaluated prior to substantial changes or development of the properties. In addition, the land surrounding these buildings (the “toft” or area around the building complex) should be considered sensitive for historical archaeological 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3271"/>
        <w:gridCol w:w="1671"/>
        <w:gridCol w:w="2645"/>
      </w:tblGrid>
      <w:tr w:rsidR="002C1CC1" w:rsidRPr="00896749">
        <w:trPr>
          <w:trHeight w:val="300"/>
          <w:tblHeader/>
        </w:trPr>
        <w:tc>
          <w:tcPr>
            <w:tcW w:w="5000" w:type="pct"/>
            <w:gridSpan w:val="4"/>
            <w:shd w:val="clear" w:color="auto" w:fill="000000"/>
            <w:noWrap/>
            <w:vAlign w:val="center"/>
          </w:tcPr>
          <w:p w:rsidR="002C1CC1" w:rsidRPr="009C64C2" w:rsidRDefault="002C1CC1" w:rsidP="002C1CC1">
            <w:pPr>
              <w:pStyle w:val="Heading7"/>
              <w:rPr>
                <w:color w:val="FFFFFF"/>
                <w:lang w:bidi="en-US"/>
              </w:rPr>
            </w:pPr>
            <w:r>
              <w:br w:type="page"/>
            </w:r>
            <w:r w:rsidRPr="009C64C2">
              <w:rPr>
                <w:color w:val="FFFFFF"/>
                <w:lang w:bidi="en-US"/>
              </w:rPr>
              <w:t xml:space="preserve">Table </w:t>
            </w:r>
            <w:r>
              <w:rPr>
                <w:color w:val="FFFFFF"/>
                <w:lang w:bidi="en-US"/>
              </w:rPr>
              <w:t>3.4</w:t>
            </w:r>
            <w:r w:rsidRPr="009C64C2">
              <w:rPr>
                <w:color w:val="FFFFFF"/>
                <w:lang w:bidi="en-US"/>
              </w:rPr>
              <w:t>-1: Buildings potentially eligible for the California Register</w:t>
            </w:r>
          </w:p>
        </w:tc>
      </w:tr>
      <w:tr w:rsidR="002C1CC1" w:rsidRPr="00E02916">
        <w:trPr>
          <w:trHeight w:val="162"/>
          <w:tblHeader/>
        </w:trPr>
        <w:tc>
          <w:tcPr>
            <w:tcW w:w="818" w:type="pct"/>
            <w:shd w:val="clear" w:color="auto" w:fill="BFBFBF"/>
            <w:noWrap/>
            <w:vAlign w:val="bottom"/>
          </w:tcPr>
          <w:p w:rsidR="002C1CC1" w:rsidRPr="00E02916" w:rsidRDefault="002C1CC1" w:rsidP="002C1CC1">
            <w:pPr>
              <w:pStyle w:val="TableHeadingRow"/>
              <w:jc w:val="center"/>
            </w:pPr>
            <w:r w:rsidRPr="00E02916">
              <w:t>House</w:t>
            </w:r>
          </w:p>
        </w:tc>
        <w:tc>
          <w:tcPr>
            <w:tcW w:w="1803" w:type="pct"/>
            <w:shd w:val="clear" w:color="auto" w:fill="BFBFBF"/>
            <w:noWrap/>
            <w:vAlign w:val="bottom"/>
          </w:tcPr>
          <w:p w:rsidR="002C1CC1" w:rsidRPr="00E02916" w:rsidRDefault="002C1CC1" w:rsidP="002C1CC1">
            <w:pPr>
              <w:pStyle w:val="TableHeadingRow"/>
              <w:jc w:val="center"/>
            </w:pPr>
            <w:r w:rsidRPr="00E02916">
              <w:t>Street</w:t>
            </w:r>
          </w:p>
        </w:tc>
        <w:tc>
          <w:tcPr>
            <w:tcW w:w="921" w:type="pct"/>
            <w:shd w:val="clear" w:color="auto" w:fill="BFBFBF"/>
            <w:noWrap/>
            <w:vAlign w:val="bottom"/>
          </w:tcPr>
          <w:p w:rsidR="002C1CC1" w:rsidRPr="00E02916" w:rsidRDefault="002C1CC1" w:rsidP="002C1CC1">
            <w:pPr>
              <w:pStyle w:val="TableHeadingRow"/>
              <w:jc w:val="center"/>
            </w:pPr>
            <w:r w:rsidRPr="00E02916">
              <w:t>Year Built</w:t>
            </w:r>
          </w:p>
        </w:tc>
        <w:tc>
          <w:tcPr>
            <w:tcW w:w="1458" w:type="pct"/>
            <w:shd w:val="clear" w:color="auto" w:fill="BFBFBF"/>
            <w:noWrap/>
            <w:vAlign w:val="bottom"/>
          </w:tcPr>
          <w:p w:rsidR="002C1CC1" w:rsidRPr="00E02916" w:rsidRDefault="002C1CC1" w:rsidP="002C1CC1">
            <w:pPr>
              <w:pStyle w:val="TableHeadingRow"/>
              <w:jc w:val="center"/>
            </w:pPr>
            <w:r w:rsidRPr="00E02916">
              <w:t>Notes</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8167</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Arthur Street</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8186</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Arthur Street</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7582</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Commerce Blvd</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1927</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7560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Commerce Blvd</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1947</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HPD 6Y</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7600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Commerce Blvd</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HPD 6Y</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8779</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Cypress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1885</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7400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Gravenstein Hwy</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1909</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HPD 6Y</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7960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Gravenstein Hwy</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1927</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HPD 6Y</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8028</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Gravenstein Hwy</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HPD 6Y</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8260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Gravenstein Hwy</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1900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363</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Helman Lane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243"/>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45</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Henry Street</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1904</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85</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La Plaza</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7N</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8140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La Plaza</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8150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La Plaza</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117"/>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8200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La Plaza</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1954</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9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896</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Madrone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1905</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355</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Maple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1915</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8154</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Olaf Street</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8156</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Olaf Street</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800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Old Redwood Hwy</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1905</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lastRenderedPageBreak/>
              <w:t>8015</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Old Redwood Hwy</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8045</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Old Redwood Hwy</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8201</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Old Redwood Hwy</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1915</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117"/>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8220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Old Redwood Hwy</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1923</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9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8480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Park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1905</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HPD 6J</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855</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Richardson Lane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490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School Street</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550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School Street</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1921</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153"/>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100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Valparaiso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1914</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Severely damaged by fire</w:t>
            </w:r>
          </w:p>
        </w:tc>
      </w:tr>
      <w:tr w:rsidR="002C1CC1" w:rsidRPr="00E02916">
        <w:trPr>
          <w:trHeight w:val="117"/>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301</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Valparaiso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1925</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50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 Cotati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65</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 Cotati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1916</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70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 Cotati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1905</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79</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 Cotati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1905</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683</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 Cotati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1924</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207"/>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36</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 Sierra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1924</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9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61</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 Sierra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1914</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78</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 Sierra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1920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117"/>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175</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 Sierra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1905</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9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425</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 Sierra Ave</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153"/>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8655</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Water Road</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1903</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HPD 6Y</w:t>
            </w:r>
          </w:p>
        </w:tc>
      </w:tr>
      <w:tr w:rsidR="002C1CC1" w:rsidRPr="00E02916">
        <w:trPr>
          <w:trHeight w:val="243"/>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8750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Water Road</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1914</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207"/>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21</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William Street</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1910</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180"/>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50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William Street</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1915</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153"/>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58</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William Street</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1914</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r w:rsidR="002C1CC1" w:rsidRPr="00E02916">
        <w:trPr>
          <w:trHeight w:val="117"/>
        </w:trPr>
        <w:tc>
          <w:tcPr>
            <w:tcW w:w="81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70</w:t>
            </w:r>
          </w:p>
        </w:tc>
        <w:tc>
          <w:tcPr>
            <w:tcW w:w="1803"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William Street</w:t>
            </w:r>
          </w:p>
        </w:tc>
        <w:tc>
          <w:tcPr>
            <w:tcW w:w="921"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1908</w:t>
            </w:r>
          </w:p>
        </w:tc>
        <w:tc>
          <w:tcPr>
            <w:tcW w:w="1458" w:type="pct"/>
            <w:shd w:val="clear" w:color="auto" w:fill="auto"/>
            <w:noWrap/>
            <w:vAlign w:val="bottom"/>
          </w:tcPr>
          <w:p w:rsidR="002C1CC1" w:rsidRPr="00E02916" w:rsidRDefault="002C1CC1" w:rsidP="002C1CC1">
            <w:pPr>
              <w:pStyle w:val="TableText"/>
              <w:spacing w:before="2" w:after="2"/>
              <w:jc w:val="center"/>
              <w:rPr>
                <w:sz w:val="20"/>
                <w:szCs w:val="20"/>
              </w:rPr>
            </w:pPr>
            <w:r w:rsidRPr="00E02916">
              <w:rPr>
                <w:sz w:val="20"/>
                <w:szCs w:val="20"/>
              </w:rPr>
              <w:t>Not evaluated</w:t>
            </w:r>
          </w:p>
        </w:tc>
      </w:tr>
    </w:tbl>
    <w:p w:rsidR="005B5F88" w:rsidRPr="005B5F88" w:rsidRDefault="005B5F88" w:rsidP="005B5F88">
      <w:pPr>
        <w:pStyle w:val="Source"/>
        <w:spacing w:line="240" w:lineRule="auto"/>
        <w:rPr>
          <w:sz w:val="20"/>
          <w:szCs w:val="20"/>
        </w:rPr>
      </w:pPr>
      <w:r w:rsidRPr="005B5F88">
        <w:rPr>
          <w:sz w:val="20"/>
          <w:szCs w:val="20"/>
        </w:rPr>
        <w:t>Source: Northwest Information Center, Sonoma State University, 2011</w:t>
      </w:r>
    </w:p>
    <w:p w:rsidR="002C1CC1" w:rsidRDefault="002C1CC1" w:rsidP="002C1CC1">
      <w:r>
        <w:t xml:space="preserve">Thirty-six cultural resources have been recorded within the SOI. The specific location of these cultural resources is confidential pursuant to the requirements of the California Historic Resources Information System, which maintains statewide records of historical resources through regional Information Centers.  Of the 36 cultural resources, seven are prehistoric Native American archaeological sites, two are historic-period archaeological sites, and 27 are built environment resources. All but five of these resources are within the city limits.  </w:t>
      </w:r>
    </w:p>
    <w:p w:rsidR="002C1CC1" w:rsidRDefault="002C1CC1" w:rsidP="002C1CC1">
      <w:r>
        <w:t xml:space="preserve">It has been generally held that prehistoric Native American sites are most likely to occur where several environmental factors combine to provide readily available resources, such as at the interface between valley and hills. However, recent work has shown that sites do occur on the plain between US 101 and Petaluma Hill Road, where the soil drains poorly, and previous wisdom would not have anticipated such deposits. This suggests that the entire Planning Area should be considered sensitive for prehistoric Native American archaeological sites. </w:t>
      </w:r>
    </w:p>
    <w:p w:rsidR="002C1CC1" w:rsidRDefault="002C1CC1" w:rsidP="002C1CC1">
      <w:r>
        <w:t>Figure 3.4</w:t>
      </w:r>
      <w:r w:rsidRPr="00E02916">
        <w:t>-1 shows the area considered sensitive for prehistoric Native American archaeological deposits,</w:t>
      </w:r>
      <w:r>
        <w:t xml:space="preserve"> and the segment of the downtown area considered to have potential for historical interpretation. </w:t>
      </w:r>
    </w:p>
    <w:p w:rsidR="00DF6A1D" w:rsidRDefault="00DF6A1D" w:rsidP="002C1CC1">
      <w:pPr>
        <w:pStyle w:val="Heading3"/>
      </w:pPr>
    </w:p>
    <w:p w:rsidR="002C1CC1" w:rsidRPr="009C64C2" w:rsidRDefault="002C1CC1" w:rsidP="002C1CC1">
      <w:pPr>
        <w:pStyle w:val="Heading3"/>
      </w:pPr>
      <w:r w:rsidRPr="009C64C2">
        <w:lastRenderedPageBreak/>
        <w:t>Consultation</w:t>
      </w:r>
    </w:p>
    <w:p w:rsidR="002C1CC1" w:rsidRPr="009C64C2" w:rsidRDefault="002C1CC1" w:rsidP="002C1CC1">
      <w:r w:rsidRPr="009C64C2">
        <w:t xml:space="preserve">Letters were sent to the Native American Heritage Commission, the Federated Indians of Graton Rancheria, and the Cotati Historical Society to request information regarding the Planning Area. The Native American Heritage Commission responded with a letter dated May 25, 2011 indicating that they had no specific information regarding cultural resources within the Planning Area. </w:t>
      </w:r>
    </w:p>
    <w:p w:rsidR="002C1CC1" w:rsidRDefault="002C1CC1" w:rsidP="002C1CC1">
      <w:r w:rsidRPr="009C64C2">
        <w:t>The Federated Indians of Graton Rancheria responded in a letter dated May 23, 2011 indicating that because the General Plan Update falls under SB18 they would initiate consultation directly with the City.</w:t>
      </w:r>
      <w:r>
        <w:t xml:space="preserve">  City staff and the General Plan Update team met with the Federated Indians of Graton Rancheria to discuss possible mitigation approaches to ensure avoidance and protection of Native American cultural resources within the Planning Area.  </w:t>
      </w:r>
    </w:p>
    <w:p w:rsidR="002C1CC1" w:rsidRPr="00DA62D6" w:rsidRDefault="002C1CC1" w:rsidP="002C1CC1">
      <w:r>
        <w:t xml:space="preserve">The General Plan Update team met with  the Cotati Historical Society, which identified its concern for preservation of the historical character of downtown Cotati. </w:t>
      </w:r>
    </w:p>
    <w:p w:rsidR="002C1CC1" w:rsidRPr="00DA62D6" w:rsidRDefault="002C1CC1" w:rsidP="002C1CC1">
      <w:pPr>
        <w:pStyle w:val="Heading2"/>
        <w:rPr>
          <w:lang w:bidi="en-US"/>
        </w:rPr>
      </w:pPr>
      <w:r w:rsidRPr="00DA62D6">
        <w:rPr>
          <w:lang w:bidi="en-US"/>
        </w:rPr>
        <w:t>3.4.2 Regulatory Setting</w:t>
      </w:r>
    </w:p>
    <w:p w:rsidR="002C1CC1" w:rsidRPr="00DA62D6" w:rsidRDefault="002C1CC1" w:rsidP="002C1CC1">
      <w:pPr>
        <w:pStyle w:val="Heading3"/>
      </w:pPr>
      <w:r w:rsidRPr="00DA62D6">
        <w:t>Federal Regulations</w:t>
      </w:r>
    </w:p>
    <w:p w:rsidR="002C1CC1" w:rsidRPr="00DA62D6" w:rsidRDefault="002C1CC1" w:rsidP="002C1CC1">
      <w:pPr>
        <w:pStyle w:val="Heading4"/>
      </w:pPr>
      <w:r w:rsidRPr="00DA62D6">
        <w:t>National Historic Preservation Act</w:t>
      </w:r>
    </w:p>
    <w:p w:rsidR="002C1CC1" w:rsidRPr="00DA62D6" w:rsidRDefault="002C1CC1" w:rsidP="002C1CC1">
      <w:r w:rsidRPr="00DA62D6">
        <w:t>Most regulations at the federal level stem from the National Environmental Policy Act (NEPA) and historic preservation legislation such as the National Historic Preservation Act (NHPA) of 1966, as amended. NHPA established guidelines to "preserve important historic, cultural, and natural aspects of our national heritage, and to maintain, wherever possible, an environment that supports diversity and a variety of individual choice." The NHPA includes regulations specifically for federal land-holding agencies, but also includes regulations (Section 106) which pertain to all projects that are funded, permitted, or approved by any federal agency and which have the potential to affect cultural resources. All projects that are subject to NEPA are also subject to compliance with Section 106 of the NHPA and NEPA requirements concerning cultural resources. Provisions of NHPA establish a National Register of Historic Places (The National Register) maintained by the National Park Service, the Advisory Councils on Historic Preservation, State Historic Preservation Offices, and grants-in-aid programs.</w:t>
      </w:r>
    </w:p>
    <w:p w:rsidR="002C1CC1" w:rsidRPr="00DA62D6" w:rsidRDefault="002C1CC1" w:rsidP="002C1CC1">
      <w:pPr>
        <w:pStyle w:val="Heading4"/>
      </w:pPr>
      <w:r w:rsidRPr="00DA62D6">
        <w:t xml:space="preserve">American Indian Religious Freedom Act and Native American Graves and Repatriation Act </w:t>
      </w:r>
    </w:p>
    <w:p w:rsidR="002C1CC1" w:rsidRPr="00DA62D6" w:rsidRDefault="002C1CC1" w:rsidP="002C1CC1">
      <w:r w:rsidRPr="00DA62D6">
        <w:t xml:space="preserve">The American Indian Religious Freedom Act recognizes that Native American religious practices, sacred sites, and sacred objects have not been properly protected under other statutes. It establishes as national policy that traditional practices and beliefs, sites (including right of access), and the use of sacred objects shall be protected and preserved. Additionally, Native American remains are protected by the Native American Graves and Repatriation Act of 1990. </w:t>
      </w:r>
    </w:p>
    <w:p w:rsidR="002C1CC1" w:rsidRPr="005D6B5E" w:rsidRDefault="002C1CC1" w:rsidP="002C1CC1">
      <w:pPr>
        <w:pStyle w:val="Heading4"/>
        <w:keepNext/>
      </w:pPr>
      <w:r w:rsidRPr="005D6B5E">
        <w:lastRenderedPageBreak/>
        <w:t>Department of Transportation Act - Section 4(f)</w:t>
      </w:r>
    </w:p>
    <w:p w:rsidR="002C1CC1" w:rsidRPr="005D6B5E" w:rsidRDefault="002C1CC1" w:rsidP="002C1CC1">
      <w:r w:rsidRPr="005D6B5E">
        <w:t>The Department of Transportation (DOT) Act of 1966, is set forth in Title 49 United States Code (U.S.C.). This law established that it is the policy of the United States Government to make a special effort to preserve historic sites. The Secretary of Transportation may approve a transportation program or project that requires the use of a historic site of national, state, or local significance only if: a) There is no prudent and feasible alternative to using that land; and b) The program or project includes all possible planning to minimize harm to the park, recreation area, wildlife and waterfowl refuge, or historic site resulting from the use.</w:t>
      </w:r>
    </w:p>
    <w:p w:rsidR="002C1CC1" w:rsidRPr="005D6B5E" w:rsidRDefault="002C1CC1" w:rsidP="002C1CC1">
      <w:pPr>
        <w:pStyle w:val="Heading4"/>
        <w:keepNext/>
      </w:pPr>
      <w:r w:rsidRPr="005D6B5E">
        <w:t xml:space="preserve">Other Federal Legislation </w:t>
      </w:r>
    </w:p>
    <w:p w:rsidR="002C1CC1" w:rsidRPr="005D6B5E" w:rsidRDefault="002C1CC1" w:rsidP="002C1CC1">
      <w:r w:rsidRPr="005D6B5E">
        <w:t>Historic preservation legislation was initiated by the Antiquities Act of 1966, which aimed to protect important historic and archaeological sites. It established a system of permits for conducting archaeological studies on federal land, as well as setting penalties for noncompliance. This permit process controls the disturbance of archaeological sites on federal land. New permits are currently issued under the Archaeological Resources Protection Act (ARPA) of 1979. The purpose of ARPA is to enhance preservation and protection of archaeological resources on public and Native American lands. The Historic Sites Act of 1935 declared that it is national policy to "Preserve for public use historic sites, buildings, and objects of national significance."</w:t>
      </w:r>
    </w:p>
    <w:p w:rsidR="002C1CC1" w:rsidRPr="005D6B5E" w:rsidRDefault="002C1CC1" w:rsidP="002C1CC1">
      <w:pPr>
        <w:pStyle w:val="Heading3"/>
      </w:pPr>
      <w:r w:rsidRPr="005D6B5E">
        <w:t>State Regulations</w:t>
      </w:r>
    </w:p>
    <w:p w:rsidR="002C1CC1" w:rsidRPr="005D6B5E" w:rsidRDefault="002C1CC1" w:rsidP="002C1CC1">
      <w:pPr>
        <w:pStyle w:val="Heading4"/>
      </w:pPr>
      <w:r w:rsidRPr="005D6B5E">
        <w:t xml:space="preserve">California Register of Historic Resources (CRHR) </w:t>
      </w:r>
    </w:p>
    <w:p w:rsidR="002C1CC1" w:rsidRPr="005D6B5E" w:rsidRDefault="002C1CC1" w:rsidP="002C1CC1">
      <w:r w:rsidRPr="005D6B5E">
        <w:t>California State law also provides for the protection of cultural resources by requiring evaluations of the significance of prehistoric and historic resources identified in documents prepared pursuant to the California Environmental Quality Act (CEQA). Under CEQA, a cultural resource is considered an important historical resource if it meets any of the criteria found in Section 15064.5(a) of the CEQA Guidelines. Criteria identified in the CEQA Guidelines are similar to those described under the NHPA. The State Historic Preservation Office (SHPO) maintains the CRHR. Historic properties listed, or formally designated for eligibility to be listed, on The National Register are automatically listed on the CRHR. State Landmarks and Points of Interest are also automatically listed. The CRHR can also include properties designated under local preservation ordinances or identified through local historical resource surveys.</w:t>
      </w:r>
    </w:p>
    <w:p w:rsidR="005B5F88" w:rsidRDefault="002C1CC1" w:rsidP="005B5F88">
      <w:pPr>
        <w:pStyle w:val="Heading4"/>
        <w:keepNext/>
      </w:pPr>
      <w:r w:rsidRPr="005D6B5E">
        <w:t xml:space="preserve">California Environmental Quality Act (CEQA) </w:t>
      </w:r>
    </w:p>
    <w:p w:rsidR="002C1CC1" w:rsidRPr="005D6B5E" w:rsidRDefault="002C1CC1" w:rsidP="002C1CC1">
      <w:r w:rsidRPr="005D6B5E">
        <w:t xml:space="preserve">CEQA requires that lead agencies determine whether projects may have a significant effect on archaeological and historical resources. This determination applies to those resources which meet significance criteria qualifying them as “unique,” “important,” listed on the California Register of Historical Resources (CRHR), or eligible for listing on the CRHR. If the agency determines that a project may have a significant effect on a significant resource, the project is determined to have a significant effect on the environment, and these effects must be addressed. If a cultural resource is found not to be significant under the qualifying criteria, it need not be considered further in the planning process. </w:t>
      </w:r>
    </w:p>
    <w:p w:rsidR="002C1CC1" w:rsidRPr="005D6B5E" w:rsidRDefault="002C1CC1" w:rsidP="002C1CC1">
      <w:r w:rsidRPr="005D6B5E">
        <w:lastRenderedPageBreak/>
        <w:t xml:space="preserve">CEQA emphasizes avoidance of archaeological and historical resources as the preferred means of reducing potential significant environmental effects resulting from projects. If avoidance is not feasible, an excavation program or some other form of mitigation must be developed to mitigate the impacts. In order to adequately address the level of potential impacts, and thereby design appropriate mitigation measures, the significance and nature of the cultural resources must be determined. The following are steps typically taken to assess and mitigate potential impacts to cultural resources for the purposes of CEQA: </w:t>
      </w:r>
    </w:p>
    <w:p w:rsidR="002C1CC1" w:rsidRPr="005D6B5E" w:rsidRDefault="002C1CC1" w:rsidP="002C1CC1">
      <w:pPr>
        <w:numPr>
          <w:ilvl w:val="0"/>
          <w:numId w:val="4"/>
        </w:numPr>
        <w:spacing w:after="120" w:line="240" w:lineRule="auto"/>
      </w:pPr>
      <w:r w:rsidRPr="005D6B5E">
        <w:t xml:space="preserve">identify cultural resources, </w:t>
      </w:r>
    </w:p>
    <w:p w:rsidR="002C1CC1" w:rsidRPr="005D6B5E" w:rsidRDefault="002C1CC1" w:rsidP="002C1CC1">
      <w:pPr>
        <w:numPr>
          <w:ilvl w:val="0"/>
          <w:numId w:val="4"/>
        </w:numPr>
        <w:spacing w:after="120" w:line="240" w:lineRule="auto"/>
      </w:pPr>
      <w:r w:rsidRPr="005D6B5E">
        <w:t xml:space="preserve">evaluate the significance of the cultural resources found, </w:t>
      </w:r>
    </w:p>
    <w:p w:rsidR="002C1CC1" w:rsidRPr="005D6B5E" w:rsidRDefault="002C1CC1" w:rsidP="002C1CC1">
      <w:pPr>
        <w:numPr>
          <w:ilvl w:val="0"/>
          <w:numId w:val="4"/>
        </w:numPr>
        <w:spacing w:after="120" w:line="240" w:lineRule="auto"/>
      </w:pPr>
      <w:r w:rsidRPr="005D6B5E">
        <w:t xml:space="preserve">evaluate the effects of the project on cultural resources, and </w:t>
      </w:r>
    </w:p>
    <w:p w:rsidR="002C1CC1" w:rsidRPr="005D6B5E" w:rsidRDefault="002C1CC1" w:rsidP="002C1CC1">
      <w:pPr>
        <w:numPr>
          <w:ilvl w:val="0"/>
          <w:numId w:val="4"/>
        </w:numPr>
        <w:spacing w:line="240" w:lineRule="auto"/>
      </w:pPr>
      <w:r w:rsidRPr="005D6B5E">
        <w:t>develop and implement measures to mitigate the effects of the project on cultural resources that would be significantly affected.</w:t>
      </w:r>
    </w:p>
    <w:p w:rsidR="002C1CC1" w:rsidRPr="005D6B5E" w:rsidRDefault="002C1CC1" w:rsidP="002C1CC1">
      <w:pPr>
        <w:pStyle w:val="Heading4"/>
      </w:pPr>
      <w:r w:rsidRPr="005D6B5E">
        <w:t>California Public Resources Code</w:t>
      </w:r>
    </w:p>
    <w:p w:rsidR="002C1CC1" w:rsidRPr="005D6B5E" w:rsidRDefault="002C1CC1" w:rsidP="002C1CC1">
      <w:r w:rsidRPr="005D6B5E">
        <w:t xml:space="preserve">Section 5097 of the Public Resources Code specifies the procedures to be followed in the event of the unexpected discovery of historic, archaeological, and paleontological resources, including human remains, historic or prehistoric resources, paleontological resources on nonfederal land. The disposition of Native American burial falls within the jurisdiction of the California Native American Heritage Commission (NAHC). Section 5097.5 of the Code states the following: </w:t>
      </w:r>
    </w:p>
    <w:p w:rsidR="002C1CC1" w:rsidRPr="005D6B5E" w:rsidRDefault="002C1CC1" w:rsidP="002C1CC1">
      <w:pPr>
        <w:ind w:left="360"/>
        <w:rPr>
          <w:i/>
        </w:rPr>
      </w:pPr>
      <w:r w:rsidRPr="005D6B5E">
        <w:rPr>
          <w:i/>
        </w:rPr>
        <w:t xml:space="preserve">No person shall knowingly and willfully excavate upon, or remove, destroy, injure or deface any historic or prehistoric ruins, burial grounds, archaeological or vertebrate paleontological site, including fossilized footprints, inscriptions made by human agency, or any other archaeological, paleontological or historical feature, situated on public lands, except with the express permission of the public agency having jurisdiction over such lands. Violation of this section is a misdemeanor. </w:t>
      </w:r>
    </w:p>
    <w:p w:rsidR="002C1CC1" w:rsidRPr="005D6B5E" w:rsidRDefault="002C1CC1" w:rsidP="002C1CC1">
      <w:pPr>
        <w:pStyle w:val="Heading4"/>
      </w:pPr>
      <w:r w:rsidRPr="005D6B5E">
        <w:t>California Health and Safety Code</w:t>
      </w:r>
    </w:p>
    <w:p w:rsidR="002C1CC1" w:rsidRPr="005D6B5E" w:rsidRDefault="002C1CC1" w:rsidP="002C1CC1">
      <w:pPr>
        <w:rPr>
          <w:b/>
        </w:rPr>
      </w:pPr>
      <w:r w:rsidRPr="005D6B5E">
        <w:t xml:space="preserve">Section 7050.5 of the California Health and Safety Code requires that construction or excavation be stopped in the vicinity of discovered human remains until the county coroner can determine whether the remains are those of a Native American. If the remains are determined to be Native American, the coroner must contact the California Native American Heritage Commission. CEQA Guidelines (Section 15064.5) specify the procedures to be followed in case of the discovery of human remains on non-federal land. The disposition of Native American burials falls within the jurisdiction of the Native American Heritage Commission. </w:t>
      </w:r>
    </w:p>
    <w:p w:rsidR="002C1CC1" w:rsidRPr="005D6B5E" w:rsidRDefault="002C1CC1" w:rsidP="002C1CC1">
      <w:pPr>
        <w:pStyle w:val="Heading4"/>
      </w:pPr>
      <w:r w:rsidRPr="005D6B5E">
        <w:t xml:space="preserve">Senate Bill 18 (Burton, Chapter 905, Statutes 2004) </w:t>
      </w:r>
    </w:p>
    <w:p w:rsidR="002C1CC1" w:rsidRPr="005D6B5E" w:rsidRDefault="002C1CC1" w:rsidP="002C1CC1">
      <w:r w:rsidRPr="005D6B5E">
        <w:t xml:space="preserve">SB 18, authored by Senator John Burton and signed into law by Governor Arnold Schwarzenegger in September 2004, requires local (city and county) governments to consult with California Native American tribes to aid in the protection of traditional tribal cultural places (“cultural places”) through local land use planning. This legislation, which amended §65040.2, §65092, §65351, §65352, and §65560, and added §65352.3, §653524, and §65562.5 to the Government Code; also </w:t>
      </w:r>
      <w:r w:rsidRPr="005D6B5E">
        <w:lastRenderedPageBreak/>
        <w:t>requires the Governor’s Office of Planning and Research (OPR) to include in the General Plan Guidelines advice to local governments for how to conduct these consultations. The intent of SB 18 is to provide California Native American tribes an opportunity to participate in local land use decisions at an early planning stage, for the purpose of protecting, or mitigating impacts to, cultural places. These consultation and notice requirements apply to adoption and amendment of both general plans (defined in Government Code §65300 et seq.) and specific plans (defined in Government Code §65450 et seq.).</w:t>
      </w:r>
    </w:p>
    <w:p w:rsidR="002C1CC1" w:rsidRPr="005D6B5E" w:rsidRDefault="002C1CC1" w:rsidP="002C1CC1">
      <w:pPr>
        <w:pStyle w:val="Heading4"/>
      </w:pPr>
      <w:r w:rsidRPr="005D6B5E">
        <w:t>Assembly Bill 978</w:t>
      </w:r>
    </w:p>
    <w:p w:rsidR="002C1CC1" w:rsidRPr="005D6B5E" w:rsidRDefault="002C1CC1" w:rsidP="002C1CC1">
      <w:r w:rsidRPr="005D6B5E">
        <w:t>In 2001, Assembly Bill (AB) 978 expanded the reach of Native American Graves Protection and Repatriation Act of 1990 and established a state commission with statutory powers to assure that federal and state laws regarding the repatriation of Native American human remains and items of patrimony are fully complied with. In addition, AB 978 also included non-federally recognized tribes for repatriation.</w:t>
      </w:r>
    </w:p>
    <w:p w:rsidR="002C1CC1" w:rsidRPr="005D6B5E" w:rsidRDefault="002C1CC1" w:rsidP="002C1CC1">
      <w:pPr>
        <w:pStyle w:val="Heading2"/>
      </w:pPr>
      <w:r w:rsidRPr="005D6B5E">
        <w:t xml:space="preserve">3.4.3 Impacts and Mitigation Measures </w:t>
      </w:r>
    </w:p>
    <w:p w:rsidR="002C1CC1" w:rsidRPr="005D6B5E" w:rsidRDefault="002C1CC1" w:rsidP="002C1CC1">
      <w:pPr>
        <w:pStyle w:val="Heading3"/>
      </w:pPr>
      <w:r w:rsidRPr="005D6B5E">
        <w:t>Thresholds of Significance</w:t>
      </w:r>
    </w:p>
    <w:p w:rsidR="002C1CC1" w:rsidRPr="005D6B5E" w:rsidRDefault="002C1CC1" w:rsidP="002C1CC1">
      <w:r w:rsidRPr="005D6B5E">
        <w:t>Consistent with Appendix G of the CEQA Guidelines, the proposed project is considered to have a significant impact on cultural resources if it will:</w:t>
      </w:r>
    </w:p>
    <w:p w:rsidR="002C1CC1" w:rsidRPr="005D6B5E" w:rsidRDefault="002C1CC1" w:rsidP="002C1CC1">
      <w:pPr>
        <w:pStyle w:val="ListBullet"/>
        <w:contextualSpacing w:val="0"/>
      </w:pPr>
      <w:r w:rsidRPr="005D6B5E">
        <w:t>Cause a substantial adverse change in the significance of a historical resource as defined in CEQA Guidelines §15064.5;</w:t>
      </w:r>
    </w:p>
    <w:p w:rsidR="002C1CC1" w:rsidRPr="005D6B5E" w:rsidRDefault="002C1CC1" w:rsidP="002C1CC1">
      <w:pPr>
        <w:pStyle w:val="ListBullet"/>
        <w:contextualSpacing w:val="0"/>
      </w:pPr>
      <w:r w:rsidRPr="005D6B5E">
        <w:t>Cause a substantial adverse change in the significance of archaeological resource pursuant to CEQA Guidelines §15064.5;</w:t>
      </w:r>
    </w:p>
    <w:p w:rsidR="002C1CC1" w:rsidRPr="005D6B5E" w:rsidRDefault="002C1CC1" w:rsidP="002C1CC1">
      <w:pPr>
        <w:pStyle w:val="ListBullet"/>
        <w:contextualSpacing w:val="0"/>
      </w:pPr>
      <w:r w:rsidRPr="005D6B5E">
        <w:t>Directly or indirectly destroy a unique paleontological resource; or</w:t>
      </w:r>
    </w:p>
    <w:p w:rsidR="002C1CC1" w:rsidRPr="005D6B5E" w:rsidRDefault="002C1CC1" w:rsidP="002C1CC1">
      <w:pPr>
        <w:pStyle w:val="ListBullet"/>
        <w:contextualSpacing w:val="0"/>
      </w:pPr>
      <w:r w:rsidRPr="005D6B5E">
        <w:t>Disturb any human remains, including those interred outside of formal cemeteries.</w:t>
      </w:r>
    </w:p>
    <w:p w:rsidR="005B5F88" w:rsidRDefault="002C1CC1" w:rsidP="005B5F88">
      <w:pPr>
        <w:pStyle w:val="Heading3"/>
        <w:keepNext/>
        <w:spacing w:before="240"/>
      </w:pPr>
      <w:r w:rsidRPr="005D4DAA">
        <w:t>Impacts and Mitigation Measures</w:t>
      </w:r>
    </w:p>
    <w:p w:rsidR="002C1CC1" w:rsidRPr="005D4DAA" w:rsidRDefault="002C1CC1" w:rsidP="002C1CC1">
      <w:pPr>
        <w:pStyle w:val="Heading4"/>
      </w:pPr>
      <w:r w:rsidRPr="005D4DAA">
        <w:t>Impact 3.4-1: Substantial Adverse Change in the Significance of a Historical or Archaeological Resource (Less than Significant)</w:t>
      </w:r>
    </w:p>
    <w:p w:rsidR="002C1CC1" w:rsidRDefault="002C1CC1" w:rsidP="002C1CC1">
      <w:r w:rsidRPr="005D4DAA">
        <w:t xml:space="preserve">A substantial adverse change in the significance of an historic resource is defined at Section 15064.5 (b)(1) of the CEQA Guidelines as the “physical demolition, destruction, relocation, or alteration of the resource or its immediate surroundings such that the significance of an historical resource would be materially impaired.” Known historic and prehistoric resource sites are located throughout Cotati and the Planning Area, and it is expected that additional undiscovered sites may be located in various areas of the city as well. While the 2013 General Plan does not directly propose any adverse changes to any historic or archaeological resources, future development allowed under the General Plan could affect known historical and archaeological resources or unknown historical and archaeological resources which have not yet been identified. </w:t>
      </w:r>
      <w:r>
        <w:t xml:space="preserve">Thirty-six </w:t>
      </w:r>
      <w:r>
        <w:lastRenderedPageBreak/>
        <w:t>resources have been recorded within the Planning Area. Of these, seven are prehistoric Native American archaeological sites, two are historic-period archaeological sites, and 27 are built environment resources. All but five of these resources are within the city limits.</w:t>
      </w:r>
    </w:p>
    <w:p w:rsidR="002C1CC1" w:rsidRDefault="002C1CC1" w:rsidP="002C1CC1">
      <w:r>
        <w:t xml:space="preserve">It has been generally held that prehistoric Native American sites are most likely to occur where several environmental factors combine to provide readily available resources, such as at the interface between valley and hills. However, recent work has shown that sites do occur on the plain between US 101 and Petaluma Hill Road, where the soil drains poorly, and previous wisdom would not have anticipated such deposits. This suggests that the entire Planning Area should be considered sensitive for prehistoric Native American archaeological sites. </w:t>
      </w:r>
    </w:p>
    <w:p w:rsidR="002C1CC1" w:rsidRDefault="002C1CC1" w:rsidP="002C1CC1">
      <w:r w:rsidRPr="005D4DAA">
        <w:t xml:space="preserve">As future development and infrastructure projects are considered by the City, each project will be evaluated for conformance with the City’s General Plan, </w:t>
      </w:r>
      <w:r>
        <w:t>Land Use Code</w:t>
      </w:r>
      <w:r w:rsidRPr="005D4DAA">
        <w:t xml:space="preserve">, and other applicable state and local regulations. Subsequent development and infrastructure projects would also be analyzed for potential environmental impacts, consistent with the requirements of CEQA. The 2013 Cotati General Plan includes policies and actions that would reduce impacts to cultural, historic, and archaeological resources, as well as policies and actions for the conservation of cultural, historic, and archaeological resources. </w:t>
      </w:r>
    </w:p>
    <w:p w:rsidR="002C1CC1" w:rsidRPr="006427D3" w:rsidRDefault="002C1CC1" w:rsidP="002C1CC1">
      <w:r w:rsidRPr="006427D3">
        <w:t>Policies CON 4.1, CON 4.3, and CON 4.4 encourage the protection and preservation of cultural and historic resources and consultation with Native American representatives to identify and appropriately address cultural resources and sacred sites during the development review process. Action CON 4</w:t>
      </w:r>
      <w:r w:rsidR="00C50B68">
        <w:t>c</w:t>
      </w:r>
      <w:r w:rsidRPr="006427D3">
        <w:t xml:space="preserve"> addresses the discovery of significant archaeological and historic resources during construction and grading activities, requiring that development work be stopped in the event of a discovery and that appropriate measures be implemented to protect the resource. Policies CON 4.5 and CON 4.6 encourage the preservation and reuse of historic buildings and structures to maintain their historical significance.  </w:t>
      </w:r>
      <w:r w:rsidR="00C50B68">
        <w:t>Action CON4b requires</w:t>
      </w:r>
      <w:r w:rsidRPr="006427D3">
        <w:t xml:space="preserve"> </w:t>
      </w:r>
      <w:r w:rsidR="00C50B68">
        <w:t>development projects that would affect potentially significant historic buildings and structures to evaluate potential impacts to the resources and to institute appropriate measures, such as avoidance or documentation, to reduce the significance of potential impacts to a less than significant level.</w:t>
      </w:r>
    </w:p>
    <w:p w:rsidR="002C1CC1" w:rsidRPr="006427D3" w:rsidRDefault="002C1CC1" w:rsidP="002C1CC1">
      <w:r w:rsidRPr="006427D3">
        <w:t xml:space="preserve">Adoption and implementation of the policies and actions listed below would ensure that adverse effects on significant historic and archaeological resources are reduced to a </w:t>
      </w:r>
      <w:r w:rsidRPr="006427D3">
        <w:rPr>
          <w:b/>
        </w:rPr>
        <w:t>less than significant</w:t>
      </w:r>
      <w:r w:rsidRPr="006427D3">
        <w:t xml:space="preserve"> level.</w:t>
      </w:r>
    </w:p>
    <w:p w:rsidR="002C1CC1" w:rsidRPr="006427D3" w:rsidRDefault="002C1CC1" w:rsidP="002C1CC1">
      <w:pPr>
        <w:pStyle w:val="Heading5"/>
        <w:keepNext/>
        <w:spacing w:after="80"/>
        <w:rPr>
          <w:b/>
        </w:rPr>
      </w:pPr>
      <w:r w:rsidRPr="006427D3">
        <w:rPr>
          <w:b/>
        </w:rPr>
        <w:t>2013 General Plan Policies and Actions that Mitigate Potential Impacts</w:t>
      </w:r>
    </w:p>
    <w:p w:rsidR="002C1CC1" w:rsidRPr="006427D3" w:rsidRDefault="002C1CC1" w:rsidP="002C1CC1">
      <w:pPr>
        <w:spacing w:after="80"/>
        <w:rPr>
          <w:i/>
          <w:u w:val="single"/>
        </w:rPr>
      </w:pPr>
      <w:r w:rsidRPr="006427D3">
        <w:rPr>
          <w:i/>
          <w:u w:val="single"/>
        </w:rPr>
        <w:t>Policies</w:t>
      </w:r>
    </w:p>
    <w:p w:rsidR="002C1CC1" w:rsidRPr="00B1532B" w:rsidRDefault="002C1CC1" w:rsidP="002C1CC1">
      <w:pPr>
        <w:pStyle w:val="Policy"/>
        <w:ind w:left="0"/>
        <w:rPr>
          <w:i/>
        </w:rPr>
      </w:pPr>
      <w:r w:rsidRPr="00B1532B">
        <w:rPr>
          <w:b/>
          <w:i/>
        </w:rPr>
        <w:t>Policy CON 4.1:</w:t>
      </w:r>
      <w:r w:rsidRPr="00B1532B">
        <w:rPr>
          <w:i/>
        </w:rPr>
        <w:t xml:space="preserve"> Review proposed developments and work in conjunction with the California Historical Resources Information System, Northwest Information Center at Sonoma State University, to determine whether project areas contain known archaeological resources, either prehistoric and/or historic-era, or have the potential for such resources.</w:t>
      </w:r>
    </w:p>
    <w:p w:rsidR="002C1CC1" w:rsidRPr="00B1532B" w:rsidRDefault="002C1CC1" w:rsidP="0033169F">
      <w:pPr>
        <w:pStyle w:val="Policy"/>
        <w:ind w:left="0"/>
        <w:rPr>
          <w:rFonts w:cs="ArialMT"/>
          <w:i/>
          <w:szCs w:val="22"/>
        </w:rPr>
      </w:pPr>
      <w:r w:rsidRPr="00B1532B">
        <w:rPr>
          <w:b/>
          <w:i/>
        </w:rPr>
        <w:t>Policy CON 4.3:</w:t>
      </w:r>
      <w:r w:rsidRPr="00B1532B">
        <w:rPr>
          <w:b/>
          <w:i/>
        </w:rPr>
        <w:tab/>
      </w:r>
      <w:r w:rsidRPr="00B1532B">
        <w:rPr>
          <w:rFonts w:cs="ArialMT"/>
          <w:i/>
          <w:szCs w:val="22"/>
        </w:rPr>
        <w:t xml:space="preserve"> Work with Native American representatives to identify and appropriately address, through avoidance or mitigation, impacts to Native American cultural resources and sacred sites during the development review process.  </w:t>
      </w:r>
    </w:p>
    <w:p w:rsidR="002C1CC1" w:rsidRPr="00B1532B" w:rsidRDefault="002C1CC1" w:rsidP="002C1CC1">
      <w:pPr>
        <w:pStyle w:val="Policy"/>
        <w:ind w:left="0"/>
        <w:rPr>
          <w:i/>
        </w:rPr>
      </w:pPr>
      <w:r w:rsidRPr="00B1532B">
        <w:rPr>
          <w:b/>
          <w:i/>
        </w:rPr>
        <w:lastRenderedPageBreak/>
        <w:t>Policy CON 4.4:</w:t>
      </w:r>
      <w:r w:rsidRPr="00B1532B">
        <w:rPr>
          <w:b/>
          <w:i/>
        </w:rPr>
        <w:tab/>
      </w:r>
      <w:r w:rsidRPr="00B1532B">
        <w:rPr>
          <w:rFonts w:cs="ArialMT"/>
          <w:i/>
          <w:szCs w:val="22"/>
        </w:rPr>
        <w:t xml:space="preserve"> </w:t>
      </w:r>
      <w:r w:rsidRPr="00B1532B">
        <w:rPr>
          <w:i/>
        </w:rPr>
        <w:t>Consistent with State local and tribal intergovernmental consultation requirements such as SB18, the City shall consult with Native American tribes that may be interested in proposed new development and land use policy changes.</w:t>
      </w:r>
    </w:p>
    <w:p w:rsidR="002C1CC1" w:rsidRPr="00B1532B" w:rsidRDefault="002C1CC1" w:rsidP="002C1CC1">
      <w:pPr>
        <w:pStyle w:val="Policy"/>
        <w:ind w:left="0"/>
        <w:rPr>
          <w:i/>
        </w:rPr>
      </w:pPr>
      <w:r w:rsidRPr="00B1532B">
        <w:rPr>
          <w:b/>
          <w:i/>
        </w:rPr>
        <w:t>Policy CON 4.5:</w:t>
      </w:r>
      <w:r w:rsidRPr="00B1532B">
        <w:rPr>
          <w:b/>
          <w:i/>
        </w:rPr>
        <w:tab/>
      </w:r>
      <w:r w:rsidRPr="00B1532B">
        <w:rPr>
          <w:i/>
        </w:rPr>
        <w:t xml:space="preserve"> Encourage the voluntary identification, conservation, and re-use of historical structures, properties, and sites with special and recognized historic, architectural, or aesthetic value.  </w:t>
      </w:r>
    </w:p>
    <w:p w:rsidR="002C1CC1" w:rsidRPr="00B1532B" w:rsidRDefault="002C1CC1" w:rsidP="002C1CC1">
      <w:pPr>
        <w:pStyle w:val="Policy"/>
        <w:ind w:left="0"/>
        <w:rPr>
          <w:i/>
        </w:rPr>
      </w:pPr>
      <w:r w:rsidRPr="00B1532B">
        <w:rPr>
          <w:b/>
          <w:i/>
        </w:rPr>
        <w:t>Policy CON 4.6:</w:t>
      </w:r>
      <w:r w:rsidRPr="00B1532B">
        <w:rPr>
          <w:i/>
        </w:rPr>
        <w:t xml:space="preserve">  Encourage historic resources to remain in their original use whenever possible. The adaptive use of historic resources is preferred, particularly as museums, educational facilities, or visitor-serving uses, when the original use can no longer be sustained. Older residences may be converted to office/retail use in commercial areas and to tourist or business use, so long as their historical authenticity is maintained or enhanced.</w:t>
      </w:r>
    </w:p>
    <w:p w:rsidR="002C1CC1" w:rsidRPr="006427D3" w:rsidRDefault="002C1CC1" w:rsidP="002C1CC1">
      <w:pPr>
        <w:keepNext/>
        <w:rPr>
          <w:i/>
          <w:u w:val="single"/>
        </w:rPr>
      </w:pPr>
      <w:r w:rsidRPr="006427D3">
        <w:rPr>
          <w:i/>
          <w:u w:val="single"/>
        </w:rPr>
        <w:t>Actions</w:t>
      </w:r>
    </w:p>
    <w:p w:rsidR="002C1CC1" w:rsidRPr="00CD0DC7" w:rsidRDefault="002C1CC1" w:rsidP="0033169F">
      <w:pPr>
        <w:pStyle w:val="Policy"/>
        <w:tabs>
          <w:tab w:val="clear" w:pos="720"/>
          <w:tab w:val="left" w:pos="1440"/>
        </w:tabs>
        <w:ind w:left="0"/>
        <w:rPr>
          <w:i/>
        </w:rPr>
      </w:pPr>
      <w:r w:rsidRPr="00CD0DC7">
        <w:rPr>
          <w:i/>
          <w:u w:val="single"/>
        </w:rPr>
        <w:t>Action CON 4a:</w:t>
      </w:r>
      <w:r w:rsidRPr="00CD0DC7">
        <w:rPr>
          <w:i/>
        </w:rPr>
        <w:tab/>
        <w:t>Work with the Federated Indians of the Graton Rancheria to prepare a narrative description of the Native American background of the Cotati area and request the Federated Ind</w:t>
      </w:r>
      <w:r>
        <w:rPr>
          <w:i/>
        </w:rPr>
        <w:t xml:space="preserve">ians of the Graton Rancheria </w:t>
      </w:r>
      <w:r w:rsidRPr="00CD0DC7">
        <w:rPr>
          <w:i/>
        </w:rPr>
        <w:t xml:space="preserve">provide pictorial examples of the types of Native American resources present in the vicinity. Place this description on the City’s website as a link under the History of Cotati section. </w:t>
      </w:r>
    </w:p>
    <w:p w:rsidR="002C1CC1" w:rsidRDefault="002C1CC1" w:rsidP="002C1CC1">
      <w:pPr>
        <w:pStyle w:val="Policy"/>
        <w:tabs>
          <w:tab w:val="clear" w:pos="720"/>
          <w:tab w:val="left" w:pos="1440"/>
        </w:tabs>
        <w:ind w:left="0"/>
        <w:rPr>
          <w:i/>
        </w:rPr>
      </w:pPr>
      <w:r w:rsidRPr="00CD0DC7">
        <w:rPr>
          <w:i/>
          <w:u w:val="single"/>
        </w:rPr>
        <w:t>Action CON 4b:</w:t>
      </w:r>
      <w:r w:rsidRPr="00CD0DC7">
        <w:rPr>
          <w:i/>
        </w:rPr>
        <w:t xml:space="preserve"> Require a cultural and archaeological survey prior to approval of any </w:t>
      </w:r>
      <w:r w:rsidR="00E21D00">
        <w:rPr>
          <w:i/>
        </w:rPr>
        <w:t xml:space="preserve">development </w:t>
      </w:r>
      <w:r w:rsidRPr="00CD0DC7">
        <w:rPr>
          <w:i/>
        </w:rPr>
        <w:t>project</w:t>
      </w:r>
      <w:r w:rsidR="002C485F">
        <w:rPr>
          <w:i/>
        </w:rPr>
        <w:t xml:space="preserve"> where a </w:t>
      </w:r>
      <w:r w:rsidR="00C50B68">
        <w:rPr>
          <w:i/>
        </w:rPr>
        <w:t>potential or know</w:t>
      </w:r>
      <w:r w:rsidR="002C485F">
        <w:rPr>
          <w:i/>
        </w:rPr>
        <w:t>n historical, archaeological, or other cultural resource is located or</w:t>
      </w:r>
      <w:r w:rsidRPr="00CD0DC7">
        <w:rPr>
          <w:i/>
        </w:rPr>
        <w:t xml:space="preserve"> which would require excavation in an area that is sensitive for cultural or archaeological resources. If significant cultural or archaeological resources, including historic and prehistoric resources, are identified, </w:t>
      </w:r>
      <w:r w:rsidR="00E21D00">
        <w:rPr>
          <w:i/>
        </w:rPr>
        <w:t xml:space="preserve">the project shall be required to implement </w:t>
      </w:r>
      <w:r w:rsidRPr="00CD0DC7">
        <w:rPr>
          <w:i/>
        </w:rPr>
        <w:t xml:space="preserve">appropriate measures, such as </w:t>
      </w:r>
      <w:r w:rsidR="002C485F">
        <w:rPr>
          <w:i/>
        </w:rPr>
        <w:t xml:space="preserve">avoidance, capping of the resource site, or </w:t>
      </w:r>
      <w:r w:rsidRPr="00CD0DC7">
        <w:rPr>
          <w:i/>
        </w:rPr>
        <w:t>documentation and conservation, to reduce adverse impacts to the resource</w:t>
      </w:r>
      <w:r w:rsidR="00E21D00">
        <w:rPr>
          <w:i/>
        </w:rPr>
        <w:t xml:space="preserve"> to a less than significant level</w:t>
      </w:r>
      <w:r w:rsidRPr="00CD0DC7">
        <w:rPr>
          <w:i/>
        </w:rPr>
        <w:t>.</w:t>
      </w:r>
    </w:p>
    <w:p w:rsidR="009500B3" w:rsidRDefault="00C50B68">
      <w:pPr>
        <w:pStyle w:val="Policy"/>
        <w:tabs>
          <w:tab w:val="clear" w:pos="720"/>
          <w:tab w:val="left" w:pos="1440"/>
        </w:tabs>
        <w:ind w:left="0"/>
        <w:rPr>
          <w:i/>
        </w:rPr>
      </w:pPr>
      <w:r w:rsidRPr="00CD0DC7">
        <w:rPr>
          <w:i/>
          <w:u w:val="single"/>
        </w:rPr>
        <w:t>Action CON 4c</w:t>
      </w:r>
      <w:r w:rsidRPr="00CD0DC7">
        <w:rPr>
          <w:i/>
        </w:rPr>
        <w:t>:  Require all development, infrastructure, and other ground-disturbing projects to comply with the following conditions in the event of an inadvertent discovery of cultural resources or human remains:</w:t>
      </w:r>
    </w:p>
    <w:p w:rsidR="00C50B68" w:rsidRPr="00CD0DC7" w:rsidRDefault="00C50B68" w:rsidP="00C50B68">
      <w:pPr>
        <w:pStyle w:val="Policy"/>
        <w:numPr>
          <w:ilvl w:val="0"/>
          <w:numId w:val="33"/>
        </w:numPr>
        <w:tabs>
          <w:tab w:val="clear" w:pos="720"/>
          <w:tab w:val="left" w:pos="1440"/>
        </w:tabs>
        <w:rPr>
          <w:i/>
        </w:rPr>
      </w:pPr>
      <w:r w:rsidRPr="00CD0DC7">
        <w:rPr>
          <w:i/>
        </w:rPr>
        <w:t xml:space="preserve">If construction or grading activities result in the discovery of significant historic or prehistoric archaeological artifacts or unique paleontological resources, all work within 100 feet of the discovery shall cease, </w:t>
      </w:r>
      <w:r>
        <w:rPr>
          <w:i/>
        </w:rPr>
        <w:t xml:space="preserve">the </w:t>
      </w:r>
      <w:r w:rsidRPr="00CD0DC7">
        <w:rPr>
          <w:i/>
        </w:rPr>
        <w:t xml:space="preserve">Community Development </w:t>
      </w:r>
      <w:r>
        <w:rPr>
          <w:i/>
        </w:rPr>
        <w:t xml:space="preserve">Department </w:t>
      </w:r>
      <w:r w:rsidRPr="00CD0DC7">
        <w:rPr>
          <w:i/>
        </w:rPr>
        <w:t xml:space="preserve">shall be notified, the resources shall be examined by a qualified archaeologist, paleontologist, or historian for appropriate protection and preservation measures; and work may only resume when appropriate protections are in place and have been approved by the Community Development Department.    </w:t>
      </w:r>
    </w:p>
    <w:p w:rsidR="00C50B68" w:rsidRPr="00CD0DC7" w:rsidRDefault="00C50B68" w:rsidP="00C50B68">
      <w:pPr>
        <w:pStyle w:val="Policy"/>
        <w:numPr>
          <w:ilvl w:val="0"/>
          <w:numId w:val="33"/>
        </w:numPr>
        <w:tabs>
          <w:tab w:val="clear" w:pos="720"/>
          <w:tab w:val="left" w:pos="1440"/>
        </w:tabs>
        <w:rPr>
          <w:i/>
        </w:rPr>
      </w:pPr>
      <w:r w:rsidRPr="00CD0DC7">
        <w:rPr>
          <w:i/>
        </w:rPr>
        <w:t xml:space="preserve">If human remains are discovered during any ground disturbing activity, work shall stop until </w:t>
      </w:r>
      <w:r>
        <w:rPr>
          <w:i/>
        </w:rPr>
        <w:t xml:space="preserve">the </w:t>
      </w:r>
      <w:r w:rsidRPr="00CD0DC7">
        <w:rPr>
          <w:i/>
        </w:rPr>
        <w:t xml:space="preserve">Community Development </w:t>
      </w:r>
      <w:r>
        <w:rPr>
          <w:i/>
        </w:rPr>
        <w:t xml:space="preserve">Department </w:t>
      </w:r>
      <w:r w:rsidRPr="00CD0DC7">
        <w:rPr>
          <w:i/>
        </w:rPr>
        <w:t xml:space="preserve">and the County Coroner have been contacted; if the human remains are determined to be of Native American origin, the Native American Heritage Commission (NAHC) and the most likely descendants have been consulted; and work may only resume when appropriate measures have been taken and approved by the </w:t>
      </w:r>
      <w:r>
        <w:rPr>
          <w:i/>
        </w:rPr>
        <w:t>Community Development</w:t>
      </w:r>
      <w:r w:rsidRPr="00CD0DC7">
        <w:rPr>
          <w:i/>
        </w:rPr>
        <w:t xml:space="preserve"> Department.  </w:t>
      </w:r>
    </w:p>
    <w:p w:rsidR="002C1CC1" w:rsidRPr="00CD0DC7" w:rsidRDefault="002C1CC1" w:rsidP="0033169F">
      <w:pPr>
        <w:pStyle w:val="Policy"/>
        <w:ind w:left="0"/>
        <w:rPr>
          <w:rFonts w:cs="Garamond-Antiqua"/>
          <w:i/>
        </w:rPr>
      </w:pPr>
      <w:r w:rsidRPr="00CD0DC7">
        <w:rPr>
          <w:rFonts w:cs="Garamond-Antiqua"/>
          <w:i/>
          <w:u w:val="single"/>
        </w:rPr>
        <w:lastRenderedPageBreak/>
        <w:t>Action CON 4f:</w:t>
      </w:r>
      <w:r w:rsidRPr="00CD0DC7">
        <w:rPr>
          <w:rFonts w:cs="Garamond-Antiqua"/>
          <w:i/>
        </w:rPr>
        <w:tab/>
        <w:t>Develop guidelines for remodels of potentially historic residential structures to ensure that the character and individuality of such residences is maintained.  The guidelines should address:</w:t>
      </w:r>
    </w:p>
    <w:p w:rsidR="005B5F88" w:rsidRDefault="002C1CC1" w:rsidP="005B5F88">
      <w:pPr>
        <w:pStyle w:val="Policy"/>
        <w:numPr>
          <w:ilvl w:val="0"/>
          <w:numId w:val="32"/>
        </w:numPr>
        <w:ind w:left="1440" w:hanging="720"/>
        <w:rPr>
          <w:rFonts w:cs="Garamond-Antiqua"/>
          <w:i/>
        </w:rPr>
      </w:pPr>
      <w:r w:rsidRPr="00CD0DC7">
        <w:rPr>
          <w:rFonts w:cs="Garamond-Antiqua"/>
          <w:i/>
        </w:rPr>
        <w:t xml:space="preserve">Design styles, age of home, and other criteria to determine applicability of the guidelines; </w:t>
      </w:r>
    </w:p>
    <w:p w:rsidR="005B5F88" w:rsidRDefault="002C1CC1" w:rsidP="005B5F88">
      <w:pPr>
        <w:pStyle w:val="Policy"/>
        <w:numPr>
          <w:ilvl w:val="0"/>
          <w:numId w:val="32"/>
        </w:numPr>
        <w:ind w:left="1440" w:hanging="720"/>
        <w:rPr>
          <w:rFonts w:cs="Garamond-Antiqua"/>
          <w:i/>
        </w:rPr>
      </w:pPr>
      <w:r w:rsidRPr="00CD0DC7">
        <w:rPr>
          <w:rFonts w:cs="Garamond-Antiqua"/>
          <w:i/>
        </w:rPr>
        <w:t>Exterior features that are important and covered by the guidelines (e.g., siding and exterior finishes, windows, doors, roofs, porches, garages, outbuildings, streetscapes);</w:t>
      </w:r>
    </w:p>
    <w:p w:rsidR="005B5F88" w:rsidRDefault="002C1CC1" w:rsidP="005B5F88">
      <w:pPr>
        <w:pStyle w:val="Policy"/>
        <w:numPr>
          <w:ilvl w:val="0"/>
          <w:numId w:val="32"/>
        </w:numPr>
        <w:ind w:left="1440" w:hanging="720"/>
        <w:rPr>
          <w:rFonts w:cs="Garamond-Antiqua"/>
          <w:i/>
        </w:rPr>
      </w:pPr>
      <w:r w:rsidRPr="00CD0DC7">
        <w:rPr>
          <w:rFonts w:cs="Garamond-Antiqua"/>
          <w:i/>
        </w:rPr>
        <w:t>Standards for modifications and renovation, including the extent of changes that can occur;</w:t>
      </w:r>
    </w:p>
    <w:p w:rsidR="002C1CC1" w:rsidRPr="00CD0DC7" w:rsidRDefault="002C1CC1" w:rsidP="002C1CC1">
      <w:pPr>
        <w:pStyle w:val="Policy"/>
        <w:numPr>
          <w:ilvl w:val="0"/>
          <w:numId w:val="32"/>
        </w:numPr>
        <w:ind w:left="1440" w:hanging="720"/>
        <w:rPr>
          <w:rFonts w:cs="Garamond-Antiqua"/>
          <w:i/>
        </w:rPr>
      </w:pPr>
      <w:r w:rsidRPr="00CD0DC7">
        <w:rPr>
          <w:rFonts w:cs="Garamond-Antiqua"/>
          <w:i/>
        </w:rPr>
        <w:t>Activities that are exempt from the guidelines, such as interior improvements and routine maintenance and repair.</w:t>
      </w:r>
    </w:p>
    <w:p w:rsidR="002C1CC1" w:rsidRPr="006427D3" w:rsidRDefault="002C1CC1" w:rsidP="002C1CC1">
      <w:pPr>
        <w:pStyle w:val="Heading4"/>
        <w:keepNext/>
      </w:pPr>
      <w:r w:rsidRPr="006427D3">
        <w:t>Impact 3.4-2: Disturbance of Human Remains (Less than Significant)</w:t>
      </w:r>
    </w:p>
    <w:p w:rsidR="002C1CC1" w:rsidRPr="006427D3" w:rsidRDefault="002C1CC1" w:rsidP="002C1CC1">
      <w:pPr>
        <w:rPr>
          <w:rFonts w:cs="TimesNewRomanPSMT"/>
        </w:rPr>
      </w:pPr>
      <w:r w:rsidRPr="006427D3">
        <w:rPr>
          <w:rFonts w:cs="TimesNewRomanPSMT"/>
        </w:rPr>
        <w:t xml:space="preserve">Indications are that humans have occupied areas along the Laguna de Santa Rosa, west of Cotati, for at least 11,000 years and it is not always possible to predict where human remains may occur outside of formal burials. Therefore, excavation and construction activities allowed under the 2013 General Plan may yield human remains that may not be marked in formal burials. </w:t>
      </w:r>
    </w:p>
    <w:p w:rsidR="002C1CC1" w:rsidRPr="003E4A29" w:rsidRDefault="002C1CC1" w:rsidP="002C1CC1">
      <w:pPr>
        <w:rPr>
          <w:rFonts w:cs="TimesNewRomanPSMT"/>
          <w:b/>
        </w:rPr>
      </w:pPr>
      <w:r w:rsidRPr="006427D3">
        <w:t xml:space="preserve">As future development and infrastructure projects are considered by the City, each project will be evaluated for conformance with the City’s General Plan, Land Use Code, and other applicable state and local regulations. Subsequent development and infrastructure projects would also be analyzed for potential environmental impacts, consistent with the requirements of CEQA. </w:t>
      </w:r>
      <w:r w:rsidRPr="006427D3">
        <w:rPr>
          <w:rFonts w:cs="TimesNewRomanPSMT"/>
        </w:rPr>
        <w:t xml:space="preserve">Under CEQA, human remains are protected under the definition of archaeological materials as being “any evidence of human activity.” Public Resources Code Section 5097 has specific stop-work and </w:t>
      </w:r>
      <w:r w:rsidRPr="003E4A29">
        <w:rPr>
          <w:rFonts w:cs="TimesNewRomanPSMT"/>
        </w:rPr>
        <w:t xml:space="preserve">notification procedures to follow in the event that Native American human remains are inadvertently discovered during development activities. The 2013 General Plan includes Policy CON 4.2, which requires </w:t>
      </w:r>
      <w:r w:rsidRPr="003E4A29">
        <w:t>that human remains are treated with sensitivity and dignity, and ensures compliance with the provisions of California Health and Safety Code Section 7050.5 and California Public Resources Code Section 5097.98.</w:t>
      </w:r>
      <w:r w:rsidRPr="003E4A29">
        <w:rPr>
          <w:b/>
        </w:rPr>
        <w:t xml:space="preserve">  </w:t>
      </w:r>
      <w:r w:rsidRPr="003E4A29">
        <w:rPr>
          <w:rFonts w:cs="TimesNewRomanPSMT"/>
        </w:rPr>
        <w:t xml:space="preserve"> Action CON 4c includes specific provisions that must be enacted if human remains are inadvertently discovered during construction activities. Implementation of these policies and actions ensures that potential adverse impacts to human remains would be </w:t>
      </w:r>
      <w:r w:rsidRPr="003E4A29">
        <w:rPr>
          <w:rFonts w:cs="TimesNewRomanPSMT"/>
          <w:b/>
        </w:rPr>
        <w:t>less than significant</w:t>
      </w:r>
      <w:r w:rsidRPr="003E4A29">
        <w:rPr>
          <w:rFonts w:cs="TimesNewRomanPSMT"/>
        </w:rPr>
        <w:t>.</w:t>
      </w:r>
    </w:p>
    <w:p w:rsidR="002C1CC1" w:rsidRPr="009B75BE" w:rsidRDefault="002C1CC1" w:rsidP="002C1CC1">
      <w:pPr>
        <w:pStyle w:val="Heading5"/>
        <w:keepNext/>
        <w:spacing w:after="80"/>
        <w:rPr>
          <w:b/>
        </w:rPr>
      </w:pPr>
      <w:r w:rsidRPr="009B75BE">
        <w:rPr>
          <w:b/>
        </w:rPr>
        <w:t>2013 General Plan Policies that Mitigate Potential Impacts</w:t>
      </w:r>
    </w:p>
    <w:p w:rsidR="002C1CC1" w:rsidRPr="009B75BE" w:rsidRDefault="002C1CC1" w:rsidP="002C1CC1">
      <w:pPr>
        <w:spacing w:after="80"/>
        <w:rPr>
          <w:i/>
          <w:u w:val="single"/>
        </w:rPr>
      </w:pPr>
      <w:r w:rsidRPr="009B75BE">
        <w:rPr>
          <w:i/>
          <w:u w:val="single"/>
        </w:rPr>
        <w:t>Policies</w:t>
      </w:r>
    </w:p>
    <w:p w:rsidR="002C1CC1" w:rsidRPr="00B1532B" w:rsidRDefault="002C1CC1" w:rsidP="0033169F">
      <w:pPr>
        <w:pStyle w:val="Policy"/>
        <w:ind w:left="0"/>
        <w:rPr>
          <w:b/>
          <w:i/>
        </w:rPr>
      </w:pPr>
      <w:r w:rsidRPr="00B1532B">
        <w:rPr>
          <w:b/>
          <w:i/>
        </w:rPr>
        <w:t xml:space="preserve">Policy CON 4.2:  </w:t>
      </w:r>
      <w:r w:rsidRPr="00B1532B">
        <w:rPr>
          <w:i/>
        </w:rPr>
        <w:t>Ensure that human remains are treated with sensitivity and dignity, and ensure compliance with the provisions of California Health and Safety Code Section 7050.5 and California Public Resources Code Section 5097.98.</w:t>
      </w:r>
      <w:r w:rsidRPr="00B1532B">
        <w:rPr>
          <w:b/>
          <w:i/>
        </w:rPr>
        <w:t xml:space="preserve">  </w:t>
      </w:r>
    </w:p>
    <w:p w:rsidR="002C485F" w:rsidRDefault="002C1CC1">
      <w:pPr>
        <w:spacing w:after="80"/>
        <w:rPr>
          <w:i/>
          <w:u w:val="single"/>
        </w:rPr>
      </w:pPr>
      <w:r w:rsidRPr="009B75BE">
        <w:rPr>
          <w:i/>
          <w:u w:val="single"/>
        </w:rPr>
        <w:t>Actions</w:t>
      </w:r>
    </w:p>
    <w:p w:rsidR="002C1CC1" w:rsidRPr="009B75BE" w:rsidRDefault="002C1CC1" w:rsidP="002C1CC1">
      <w:pPr>
        <w:pStyle w:val="Policy"/>
        <w:tabs>
          <w:tab w:val="clear" w:pos="720"/>
          <w:tab w:val="left" w:pos="1440"/>
        </w:tabs>
        <w:ind w:left="0"/>
        <w:rPr>
          <w:i/>
        </w:rPr>
      </w:pPr>
      <w:r w:rsidRPr="009B75BE">
        <w:rPr>
          <w:i/>
          <w:u w:val="single"/>
        </w:rPr>
        <w:lastRenderedPageBreak/>
        <w:t>Action CON 4c</w:t>
      </w:r>
      <w:r w:rsidRPr="009B75BE">
        <w:rPr>
          <w:i/>
        </w:rPr>
        <w:t>:  Require all development, infrastructure, and other ground-disturbing projects to comply with the following conditions in the event of an inadvertent discovery of cultural resources or human remains:</w:t>
      </w:r>
    </w:p>
    <w:p w:rsidR="002C1CC1" w:rsidRPr="00CD0DC7" w:rsidRDefault="002C1CC1" w:rsidP="002C1CC1">
      <w:pPr>
        <w:pStyle w:val="Policy"/>
        <w:numPr>
          <w:ilvl w:val="0"/>
          <w:numId w:val="33"/>
        </w:numPr>
        <w:tabs>
          <w:tab w:val="clear" w:pos="720"/>
          <w:tab w:val="left" w:pos="1440"/>
        </w:tabs>
        <w:ind w:left="1440" w:hanging="630"/>
        <w:rPr>
          <w:i/>
        </w:rPr>
      </w:pPr>
      <w:r w:rsidRPr="009B75BE">
        <w:rPr>
          <w:i/>
        </w:rPr>
        <w:t xml:space="preserve">If construction or grading activities result in the discovery of significant historic or prehistoric archaeological artifacts or unique paleontological resources, all work within 100 feet of the discovery shall cease, </w:t>
      </w:r>
      <w:r>
        <w:rPr>
          <w:i/>
        </w:rPr>
        <w:t xml:space="preserve">the </w:t>
      </w:r>
      <w:r w:rsidRPr="009B75BE">
        <w:rPr>
          <w:i/>
        </w:rPr>
        <w:t>Community Development</w:t>
      </w:r>
      <w:r>
        <w:rPr>
          <w:i/>
        </w:rPr>
        <w:t xml:space="preserve"> Department</w:t>
      </w:r>
      <w:r w:rsidRPr="009B75BE">
        <w:rPr>
          <w:i/>
        </w:rPr>
        <w:t xml:space="preserve"> shall be notified, the resources shall be examined by a qualified archaeologist, paleontologist, or historian for appropriate protection and preservation measures; and work may only resume when appropriate protections are in place and have been approved</w:t>
      </w:r>
      <w:r w:rsidRPr="00CD0DC7">
        <w:rPr>
          <w:i/>
        </w:rPr>
        <w:t xml:space="preserve"> by the Community Development Department.    </w:t>
      </w:r>
    </w:p>
    <w:p w:rsidR="002C1CC1" w:rsidRPr="00CD0DC7" w:rsidRDefault="002C1CC1" w:rsidP="002C1CC1">
      <w:pPr>
        <w:pStyle w:val="Policy"/>
        <w:numPr>
          <w:ilvl w:val="0"/>
          <w:numId w:val="33"/>
        </w:numPr>
        <w:tabs>
          <w:tab w:val="clear" w:pos="720"/>
          <w:tab w:val="left" w:pos="1440"/>
        </w:tabs>
        <w:ind w:left="1440" w:hanging="630"/>
        <w:rPr>
          <w:i/>
        </w:rPr>
      </w:pPr>
      <w:r w:rsidRPr="00CD0DC7">
        <w:rPr>
          <w:i/>
        </w:rPr>
        <w:t xml:space="preserve">If human remains are discovered during any ground disturbing activity, work shall stop until </w:t>
      </w:r>
      <w:r>
        <w:rPr>
          <w:i/>
        </w:rPr>
        <w:t xml:space="preserve">the </w:t>
      </w:r>
      <w:r w:rsidRPr="00CD0DC7">
        <w:rPr>
          <w:i/>
        </w:rPr>
        <w:t xml:space="preserve">Community Development </w:t>
      </w:r>
      <w:r>
        <w:rPr>
          <w:i/>
        </w:rPr>
        <w:t xml:space="preserve">Department </w:t>
      </w:r>
      <w:r w:rsidRPr="00CD0DC7">
        <w:rPr>
          <w:i/>
        </w:rPr>
        <w:t xml:space="preserve">and the County Coroner have been contacted; if the human remains are determined to be of Native American origin, the Native American Heritage Commission (NAHC) and the most likely descendants have been consulted; and work may only resume when appropriate measures have been taken and approved by the </w:t>
      </w:r>
      <w:r>
        <w:rPr>
          <w:i/>
        </w:rPr>
        <w:t>Community Development Department</w:t>
      </w:r>
      <w:r w:rsidRPr="00CD0DC7">
        <w:rPr>
          <w:i/>
        </w:rPr>
        <w:t xml:space="preserve">.  </w:t>
      </w:r>
    </w:p>
    <w:p w:rsidR="002C1CC1" w:rsidRPr="009B75BE" w:rsidRDefault="002C1CC1" w:rsidP="002C1CC1">
      <w:pPr>
        <w:pStyle w:val="Heading4"/>
      </w:pPr>
      <w:r w:rsidRPr="009B75BE">
        <w:t>Impact 3.4-3: Damage to or the Destruction of Paleontological Resources (Less than Significant)</w:t>
      </w:r>
    </w:p>
    <w:p w:rsidR="002C1CC1" w:rsidRPr="009B75BE" w:rsidRDefault="002C1CC1" w:rsidP="002C1CC1">
      <w:r>
        <w:t>There are no known paleontological resources located in the Cotati Planning Area.  However, d</w:t>
      </w:r>
      <w:r w:rsidRPr="009B75BE">
        <w:t xml:space="preserve">evelopment allowed under the 2013 General Plan could result in the discovery and disturbance of </w:t>
      </w:r>
      <w:r>
        <w:t xml:space="preserve">previously unknown or undiscovered </w:t>
      </w:r>
      <w:r w:rsidRPr="009B75BE">
        <w:t xml:space="preserve">paleontological resources. Geologic formations, including the Upper Cretaceous marine sedimentary rocks and various Quaternary subunits, that have a high to moderate potential for paleontological resources are present throughout many areas in California. As future development and infrastructure projects are considered by the City, subsequent development and infrastructure would also be analyzed for potential environmental impacts, consistent with the requirements of CEQA. The 2013 General Plan provides guidance regarding the conservation of paleontological resources, ensuring that any unique paleontological resources discovered during implementation of the General Plan are conserved appropriately. The implementation of Action CON 4b, listed above, would ensure potential impacts to paleontological resources are reduced to </w:t>
      </w:r>
      <w:r w:rsidRPr="009B75BE">
        <w:rPr>
          <w:b/>
        </w:rPr>
        <w:t>less than significant</w:t>
      </w:r>
      <w:r w:rsidRPr="009B75BE">
        <w:t>.</w:t>
      </w:r>
    </w:p>
    <w:p w:rsidR="002C1CC1" w:rsidRDefault="002C1CC1" w:rsidP="002C1CC1">
      <w:pPr>
        <w:rPr>
          <w:highlight w:val="yellow"/>
        </w:rPr>
      </w:pPr>
      <w:r w:rsidRPr="004E347A">
        <w:rPr>
          <w:highlight w:val="yellow"/>
        </w:rPr>
        <w:br w:type="page"/>
      </w:r>
      <w:r>
        <w:rPr>
          <w:highlight w:val="yellow"/>
        </w:rPr>
        <w:lastRenderedPageBreak/>
        <w:t>Insert Figure 3.4-1</w:t>
      </w:r>
    </w:p>
    <w:p w:rsidR="002C1CC1" w:rsidRPr="004E347A" w:rsidRDefault="002C1CC1" w:rsidP="002C1CC1">
      <w:pPr>
        <w:rPr>
          <w:highlight w:val="yellow"/>
        </w:rPr>
      </w:pPr>
      <w:r>
        <w:rPr>
          <w:highlight w:val="yellow"/>
        </w:rPr>
        <w:br w:type="page"/>
      </w:r>
    </w:p>
    <w:p w:rsidR="002C1CC1" w:rsidRPr="004E347A" w:rsidRDefault="002C1CC1" w:rsidP="002C1CC1">
      <w:pPr>
        <w:rPr>
          <w:highlight w:val="yellow"/>
        </w:rPr>
      </w:pPr>
    </w:p>
    <w:p w:rsidR="002C1CC1" w:rsidRPr="004E347A" w:rsidRDefault="002C1CC1" w:rsidP="002C1CC1">
      <w:pPr>
        <w:rPr>
          <w:highlight w:val="yellow"/>
        </w:rPr>
      </w:pPr>
    </w:p>
    <w:p w:rsidR="002C1CC1" w:rsidRPr="004E347A" w:rsidRDefault="002C1CC1" w:rsidP="002C1CC1">
      <w:pPr>
        <w:rPr>
          <w:highlight w:val="yellow"/>
        </w:rPr>
      </w:pPr>
    </w:p>
    <w:p w:rsidR="002C1CC1" w:rsidRPr="004E347A" w:rsidRDefault="002C1CC1" w:rsidP="002C1CC1">
      <w:pPr>
        <w:rPr>
          <w:highlight w:val="yellow"/>
        </w:rPr>
      </w:pPr>
    </w:p>
    <w:p w:rsidR="002C1CC1" w:rsidRPr="004E347A" w:rsidRDefault="002C1CC1" w:rsidP="002C1CC1">
      <w:pPr>
        <w:rPr>
          <w:highlight w:val="yellow"/>
        </w:rPr>
      </w:pPr>
    </w:p>
    <w:p w:rsidR="002C1CC1" w:rsidRPr="004E347A" w:rsidRDefault="002C1CC1" w:rsidP="002C1CC1">
      <w:pPr>
        <w:rPr>
          <w:highlight w:val="yellow"/>
        </w:rPr>
      </w:pPr>
    </w:p>
    <w:p w:rsidR="002C1CC1" w:rsidRPr="004E347A" w:rsidRDefault="002C1CC1" w:rsidP="002C1CC1">
      <w:pPr>
        <w:rPr>
          <w:highlight w:val="yellow"/>
        </w:rPr>
      </w:pPr>
    </w:p>
    <w:p w:rsidR="002C1CC1" w:rsidRPr="004E347A" w:rsidRDefault="002C1CC1" w:rsidP="002C1CC1">
      <w:pPr>
        <w:rPr>
          <w:highlight w:val="yellow"/>
        </w:rPr>
      </w:pPr>
    </w:p>
    <w:p w:rsidR="002C1CC1" w:rsidRPr="004E347A" w:rsidRDefault="002C1CC1" w:rsidP="002C1CC1">
      <w:pPr>
        <w:rPr>
          <w:highlight w:val="yellow"/>
        </w:rPr>
      </w:pPr>
    </w:p>
    <w:p w:rsidR="00277A3D" w:rsidRDefault="002C1CC1" w:rsidP="002C1CC1">
      <w:pPr>
        <w:jc w:val="center"/>
        <w:rPr>
          <w:i/>
        </w:rPr>
      </w:pPr>
      <w:r w:rsidRPr="009B75BE">
        <w:rPr>
          <w:i/>
        </w:rPr>
        <w:t>This page left intentionally blank.</w:t>
      </w:r>
    </w:p>
    <w:p w:rsidR="005B5F88" w:rsidRPr="005B5F88" w:rsidRDefault="005B5F88" w:rsidP="00DF6A1D"/>
    <w:sectPr w:rsidR="005B5F88" w:rsidRPr="005B5F88" w:rsidSect="002C1CC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94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85F" w:rsidRDefault="002C485F" w:rsidP="002C1CC1">
      <w:r>
        <w:separator/>
      </w:r>
    </w:p>
    <w:p w:rsidR="002C485F" w:rsidRDefault="002C485F" w:rsidP="002C1CC1"/>
  </w:endnote>
  <w:endnote w:type="continuationSeparator" w:id="0">
    <w:p w:rsidR="002C485F" w:rsidRDefault="002C485F" w:rsidP="002C1CC1">
      <w:r>
        <w:continuationSeparator/>
      </w:r>
    </w:p>
    <w:p w:rsidR="002C485F" w:rsidRDefault="002C485F" w:rsidP="002C1CC1"/>
  </w:endnote>
  <w:endnote w:type="continuationNotice" w:id="1">
    <w:p w:rsidR="002C485F" w:rsidRDefault="002C4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tter Gothic 12cpi">
    <w:altName w:val="Cambria"/>
    <w:panose1 w:val="00000000000000000000"/>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Garamond-Antiqu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1401"/>
      <w:gridCol w:w="7671"/>
    </w:tblGrid>
    <w:tr w:rsidR="002C485F">
      <w:trPr>
        <w:trHeight w:val="360"/>
      </w:trPr>
      <w:tc>
        <w:tcPr>
          <w:tcW w:w="772" w:type="pct"/>
          <w:shd w:val="clear" w:color="auto" w:fill="D9D9D9"/>
          <w:vAlign w:val="center"/>
        </w:tcPr>
        <w:p w:rsidR="002C485F" w:rsidRPr="00DE2F6A" w:rsidRDefault="002C485F" w:rsidP="002C1CC1">
          <w:pPr>
            <w:pStyle w:val="Footer"/>
            <w:jc w:val="center"/>
          </w:pPr>
          <w:r>
            <w:rPr>
              <w:rFonts w:ascii="Cambria" w:hAnsi="Cambria"/>
            </w:rPr>
            <w:t>3.4</w:t>
          </w:r>
          <w:r w:rsidRPr="003D19C2">
            <w:rPr>
              <w:rFonts w:ascii="Cambria" w:hAnsi="Cambria"/>
            </w:rPr>
            <w:t>-</w:t>
          </w:r>
          <w:r w:rsidR="00E30A38">
            <w:fldChar w:fldCharType="begin"/>
          </w:r>
          <w:r w:rsidR="00E30A38">
            <w:instrText xml:space="preserve"> PAGE   \* MERGEFORMAT </w:instrText>
          </w:r>
          <w:r w:rsidR="00E30A38">
            <w:fldChar w:fldCharType="separate"/>
          </w:r>
          <w:r w:rsidR="00E30A38" w:rsidRPr="00E30A38">
            <w:rPr>
              <w:rFonts w:ascii="Cambria" w:hAnsi="Cambria"/>
              <w:noProof/>
            </w:rPr>
            <w:t>16</w:t>
          </w:r>
          <w:r w:rsidR="00E30A38">
            <w:rPr>
              <w:rFonts w:ascii="Cambria" w:hAnsi="Cambria"/>
              <w:noProof/>
            </w:rPr>
            <w:fldChar w:fldCharType="end"/>
          </w:r>
        </w:p>
      </w:tc>
      <w:tc>
        <w:tcPr>
          <w:tcW w:w="4228" w:type="pct"/>
          <w:vAlign w:val="center"/>
        </w:tcPr>
        <w:p w:rsidR="002C485F" w:rsidRDefault="002C485F" w:rsidP="002C1CC1">
          <w:pPr>
            <w:pStyle w:val="Footer"/>
            <w:jc w:val="left"/>
          </w:pPr>
          <w:r>
            <w:rPr>
              <w:rFonts w:ascii="Cambria" w:hAnsi="Cambria"/>
            </w:rPr>
            <w:t>Draft Environmental Impact Report – 2013 Cotati General Plan</w:t>
          </w:r>
        </w:p>
      </w:tc>
    </w:tr>
  </w:tbl>
  <w:p w:rsidR="002C485F" w:rsidRDefault="002C4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2C485F">
      <w:trPr>
        <w:trHeight w:val="360"/>
      </w:trPr>
      <w:tc>
        <w:tcPr>
          <w:tcW w:w="4228" w:type="pct"/>
          <w:vAlign w:val="center"/>
        </w:tcPr>
        <w:p w:rsidR="002C485F" w:rsidRDefault="002C485F" w:rsidP="002C1CC1">
          <w:pPr>
            <w:pStyle w:val="Footer"/>
            <w:jc w:val="right"/>
          </w:pPr>
          <w:r>
            <w:rPr>
              <w:rFonts w:ascii="Cambria" w:hAnsi="Cambria"/>
            </w:rPr>
            <w:t>Draft Environmental Impact Report – 2013 Cotati General Plan</w:t>
          </w:r>
        </w:p>
      </w:tc>
      <w:tc>
        <w:tcPr>
          <w:tcW w:w="772" w:type="pct"/>
          <w:shd w:val="clear" w:color="auto" w:fill="D9D9D9"/>
          <w:vAlign w:val="center"/>
        </w:tcPr>
        <w:p w:rsidR="002C485F" w:rsidRPr="003D19C2" w:rsidRDefault="002C485F" w:rsidP="002C1CC1">
          <w:pPr>
            <w:pStyle w:val="Footer"/>
            <w:jc w:val="center"/>
            <w:rPr>
              <w:rFonts w:ascii="Cambria" w:hAnsi="Cambria"/>
            </w:rPr>
          </w:pPr>
          <w:r>
            <w:rPr>
              <w:rFonts w:ascii="Cambria" w:hAnsi="Cambria"/>
            </w:rPr>
            <w:t>3.4</w:t>
          </w:r>
          <w:r w:rsidRPr="003D19C2">
            <w:rPr>
              <w:rFonts w:ascii="Cambria" w:hAnsi="Cambria"/>
            </w:rPr>
            <w:t>-</w:t>
          </w:r>
          <w:r w:rsidR="00E30A38">
            <w:fldChar w:fldCharType="begin"/>
          </w:r>
          <w:r w:rsidR="00E30A38">
            <w:instrText xml:space="preserve"> PAGE    \* MERGEFORMAT </w:instrText>
          </w:r>
          <w:r w:rsidR="00E30A38">
            <w:fldChar w:fldCharType="separate"/>
          </w:r>
          <w:r w:rsidR="00E30A38" w:rsidRPr="00E30A38">
            <w:rPr>
              <w:rFonts w:ascii="Cambria" w:hAnsi="Cambria"/>
              <w:noProof/>
            </w:rPr>
            <w:t>15</w:t>
          </w:r>
          <w:r w:rsidR="00E30A38">
            <w:rPr>
              <w:rFonts w:ascii="Cambria" w:hAnsi="Cambria"/>
              <w:noProof/>
            </w:rPr>
            <w:fldChar w:fldCharType="end"/>
          </w:r>
        </w:p>
      </w:tc>
    </w:tr>
  </w:tbl>
  <w:p w:rsidR="002C485F" w:rsidRPr="00DE2F6A" w:rsidRDefault="002C485F" w:rsidP="002C1C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2C485F">
      <w:trPr>
        <w:trHeight w:val="360"/>
      </w:trPr>
      <w:tc>
        <w:tcPr>
          <w:tcW w:w="4228" w:type="pct"/>
          <w:vAlign w:val="center"/>
        </w:tcPr>
        <w:p w:rsidR="002C485F" w:rsidRDefault="002C485F" w:rsidP="002C1CC1">
          <w:pPr>
            <w:pStyle w:val="Footer"/>
            <w:jc w:val="right"/>
          </w:pPr>
          <w:r>
            <w:rPr>
              <w:rFonts w:ascii="Cambria" w:hAnsi="Cambria"/>
            </w:rPr>
            <w:t>Draft Environmental Impact Report – 2013 Cotati General Plan</w:t>
          </w:r>
        </w:p>
      </w:tc>
      <w:tc>
        <w:tcPr>
          <w:tcW w:w="772" w:type="pct"/>
          <w:shd w:val="clear" w:color="auto" w:fill="D9D9D9"/>
          <w:vAlign w:val="center"/>
        </w:tcPr>
        <w:p w:rsidR="002C485F" w:rsidRPr="003D19C2" w:rsidRDefault="002C485F" w:rsidP="002C1CC1">
          <w:pPr>
            <w:pStyle w:val="Footer"/>
            <w:jc w:val="center"/>
            <w:rPr>
              <w:rFonts w:ascii="Cambria" w:hAnsi="Cambria"/>
            </w:rPr>
          </w:pPr>
          <w:r>
            <w:rPr>
              <w:rFonts w:ascii="Cambria" w:hAnsi="Cambria"/>
            </w:rPr>
            <w:t>3.4</w:t>
          </w:r>
          <w:r w:rsidRPr="003D19C2">
            <w:rPr>
              <w:rFonts w:ascii="Cambria" w:hAnsi="Cambria"/>
            </w:rPr>
            <w:t>-</w:t>
          </w:r>
          <w:r w:rsidR="00E30A38">
            <w:fldChar w:fldCharType="begin"/>
          </w:r>
          <w:r w:rsidR="00E30A38">
            <w:instrText xml:space="preserve"> PAGE    \* MERGEFORMAT </w:instrText>
          </w:r>
          <w:r w:rsidR="00E30A38">
            <w:fldChar w:fldCharType="separate"/>
          </w:r>
          <w:r w:rsidR="00E30A38" w:rsidRPr="00E30A38">
            <w:rPr>
              <w:rFonts w:ascii="Cambria" w:hAnsi="Cambria"/>
              <w:noProof/>
            </w:rPr>
            <w:t>1</w:t>
          </w:r>
          <w:r w:rsidR="00E30A38">
            <w:rPr>
              <w:rFonts w:ascii="Cambria" w:hAnsi="Cambria"/>
              <w:noProof/>
            </w:rPr>
            <w:fldChar w:fldCharType="end"/>
          </w:r>
        </w:p>
      </w:tc>
    </w:tr>
  </w:tbl>
  <w:p w:rsidR="002C485F" w:rsidRDefault="002C4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85F" w:rsidRDefault="002C485F" w:rsidP="002C1CC1">
      <w:r>
        <w:separator/>
      </w:r>
    </w:p>
    <w:p w:rsidR="002C485F" w:rsidRDefault="002C485F" w:rsidP="002C1CC1"/>
  </w:footnote>
  <w:footnote w:type="continuationSeparator" w:id="0">
    <w:p w:rsidR="002C485F" w:rsidRDefault="002C485F" w:rsidP="002C1CC1">
      <w:r>
        <w:continuationSeparator/>
      </w:r>
    </w:p>
    <w:p w:rsidR="002C485F" w:rsidRDefault="002C485F" w:rsidP="002C1CC1"/>
  </w:footnote>
  <w:footnote w:type="continuationNotice" w:id="1">
    <w:p w:rsidR="002C485F" w:rsidRDefault="002C48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1361"/>
      <w:gridCol w:w="7711"/>
    </w:tblGrid>
    <w:tr w:rsidR="002C485F">
      <w:trPr>
        <w:trHeight w:val="475"/>
      </w:trPr>
      <w:tc>
        <w:tcPr>
          <w:tcW w:w="750" w:type="pct"/>
          <w:shd w:val="clear" w:color="auto" w:fill="D9D9D9"/>
          <w:vAlign w:val="center"/>
        </w:tcPr>
        <w:p w:rsidR="002C485F" w:rsidRPr="00746C16" w:rsidRDefault="002C485F" w:rsidP="002C1CC1">
          <w:pPr>
            <w:pStyle w:val="Header"/>
            <w:jc w:val="center"/>
            <w:rPr>
              <w:sz w:val="32"/>
              <w:szCs w:val="32"/>
            </w:rPr>
          </w:pPr>
          <w:r>
            <w:rPr>
              <w:sz w:val="32"/>
              <w:szCs w:val="32"/>
            </w:rPr>
            <w:t>3.4</w:t>
          </w:r>
        </w:p>
      </w:tc>
      <w:tc>
        <w:tcPr>
          <w:tcW w:w="4250" w:type="pct"/>
          <w:shd w:val="clear" w:color="auto" w:fill="FFFFFF"/>
          <w:vAlign w:val="center"/>
        </w:tcPr>
        <w:p w:rsidR="002C485F" w:rsidRPr="004437D4" w:rsidRDefault="002C485F" w:rsidP="002C1CC1">
          <w:pPr>
            <w:pStyle w:val="Header-EvenPage"/>
          </w:pPr>
          <w:r>
            <w:t>Cultural Resources</w:t>
          </w:r>
        </w:p>
      </w:tc>
    </w:tr>
  </w:tbl>
  <w:p w:rsidR="005B5F88" w:rsidRDefault="005B5F88" w:rsidP="005B5F88">
    <w:pPr>
      <w:pStyle w:val="MediumGrid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7711"/>
      <w:gridCol w:w="1361"/>
    </w:tblGrid>
    <w:tr w:rsidR="002C485F" w:rsidRPr="004437D4">
      <w:trPr>
        <w:trHeight w:val="475"/>
      </w:trPr>
      <w:tc>
        <w:tcPr>
          <w:tcW w:w="4250" w:type="pct"/>
          <w:shd w:val="clear" w:color="auto" w:fill="FFFFFF"/>
          <w:vAlign w:val="center"/>
        </w:tcPr>
        <w:p w:rsidR="002C485F" w:rsidRDefault="002C485F">
          <w:pPr>
            <w:pStyle w:val="Header"/>
            <w:jc w:val="right"/>
            <w:rPr>
              <w:caps/>
              <w:color w:val="FFFFFF"/>
            </w:rPr>
          </w:pPr>
          <w:r>
            <w:rPr>
              <w:sz w:val="32"/>
              <w:shd w:val="clear" w:color="auto" w:fill="FFFFFF"/>
            </w:rPr>
            <w:t>Cultural Resources</w:t>
          </w:r>
        </w:p>
      </w:tc>
      <w:tc>
        <w:tcPr>
          <w:tcW w:w="750" w:type="pct"/>
          <w:shd w:val="clear" w:color="auto" w:fill="D9D9D9"/>
          <w:vAlign w:val="center"/>
        </w:tcPr>
        <w:p w:rsidR="002C485F" w:rsidRPr="004437D4" w:rsidRDefault="002C485F" w:rsidP="002C1CC1">
          <w:pPr>
            <w:pStyle w:val="Header"/>
            <w:jc w:val="center"/>
            <w:rPr>
              <w:sz w:val="32"/>
            </w:rPr>
          </w:pPr>
          <w:r>
            <w:rPr>
              <w:sz w:val="32"/>
            </w:rPr>
            <w:t>3.4</w:t>
          </w:r>
        </w:p>
      </w:tc>
    </w:tr>
  </w:tbl>
  <w:p w:rsidR="005B5F88" w:rsidRDefault="005B5F88" w:rsidP="005B5F88">
    <w:pPr>
      <w:pStyle w:val="MediumGrid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2" w:space="0" w:color="auto"/>
      </w:tblBorders>
      <w:tblCellMar>
        <w:top w:w="72" w:type="dxa"/>
        <w:left w:w="115" w:type="dxa"/>
        <w:bottom w:w="72" w:type="dxa"/>
        <w:right w:w="115" w:type="dxa"/>
      </w:tblCellMar>
      <w:tblLook w:val="04A0" w:firstRow="1" w:lastRow="0" w:firstColumn="1" w:lastColumn="0" w:noHBand="0" w:noVBand="1"/>
    </w:tblPr>
    <w:tblGrid>
      <w:gridCol w:w="7612"/>
      <w:gridCol w:w="1474"/>
    </w:tblGrid>
    <w:tr w:rsidR="002C485F" w:rsidRPr="00A65AF8">
      <w:trPr>
        <w:jc w:val="right"/>
      </w:trPr>
      <w:tc>
        <w:tcPr>
          <w:tcW w:w="4189" w:type="pct"/>
          <w:vAlign w:val="center"/>
        </w:tcPr>
        <w:p w:rsidR="002C485F" w:rsidRPr="006806E6" w:rsidRDefault="002C485F" w:rsidP="002C1CC1">
          <w:pPr>
            <w:pStyle w:val="Header"/>
            <w:jc w:val="right"/>
            <w:rPr>
              <w:sz w:val="28"/>
              <w:szCs w:val="28"/>
            </w:rPr>
          </w:pPr>
          <w:r>
            <w:t>Cultural Resources</w:t>
          </w:r>
        </w:p>
      </w:tc>
      <w:tc>
        <w:tcPr>
          <w:tcW w:w="811" w:type="pct"/>
          <w:shd w:val="clear" w:color="auto" w:fill="D9D9D9"/>
          <w:vAlign w:val="center"/>
        </w:tcPr>
        <w:p w:rsidR="002C485F" w:rsidRPr="00A65AF8" w:rsidRDefault="002C485F" w:rsidP="002C1CC1">
          <w:pPr>
            <w:pStyle w:val="Header"/>
            <w:jc w:val="center"/>
          </w:pPr>
          <w:r>
            <w:t>3.4</w:t>
          </w:r>
        </w:p>
      </w:tc>
    </w:tr>
  </w:tbl>
  <w:p w:rsidR="005B5F88" w:rsidRDefault="005B5F88" w:rsidP="005B5F88">
    <w:pPr>
      <w:pStyle w:val="MediumGrid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BB9"/>
    <w:multiLevelType w:val="hybridMultilevel"/>
    <w:tmpl w:val="68A04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C7517"/>
    <w:multiLevelType w:val="hybridMultilevel"/>
    <w:tmpl w:val="4B04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33BA1"/>
    <w:multiLevelType w:val="hybridMultilevel"/>
    <w:tmpl w:val="9BAC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B0580"/>
    <w:multiLevelType w:val="hybridMultilevel"/>
    <w:tmpl w:val="6D9201D2"/>
    <w:lvl w:ilvl="0" w:tplc="A530BA1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6043F"/>
    <w:multiLevelType w:val="hybridMultilevel"/>
    <w:tmpl w:val="32DEE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849BB"/>
    <w:multiLevelType w:val="hybridMultilevel"/>
    <w:tmpl w:val="B36823D6"/>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6">
    <w:nsid w:val="0A383399"/>
    <w:multiLevelType w:val="hybridMultilevel"/>
    <w:tmpl w:val="4218EAA8"/>
    <w:lvl w:ilvl="0" w:tplc="6C7E8E50">
      <w:start w:val="1"/>
      <w:numFmt w:val="bullet"/>
      <w:pStyle w:val="ListBullet2"/>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6A3CA5"/>
    <w:multiLevelType w:val="hybridMultilevel"/>
    <w:tmpl w:val="68A04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9D61ED"/>
    <w:multiLevelType w:val="hybridMultilevel"/>
    <w:tmpl w:val="2476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etter Gothic 12cp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etter Gothic 12cp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etter Gothic 12cpi"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9B2B43"/>
    <w:multiLevelType w:val="hybridMultilevel"/>
    <w:tmpl w:val="D92E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1A61E1"/>
    <w:multiLevelType w:val="singleLevel"/>
    <w:tmpl w:val="715C2FEA"/>
    <w:lvl w:ilvl="0">
      <w:start w:val="1"/>
      <w:numFmt w:val="decimal"/>
      <w:lvlText w:val="(%1)"/>
      <w:lvlJc w:val="left"/>
      <w:pPr>
        <w:tabs>
          <w:tab w:val="num" w:pos="375"/>
        </w:tabs>
        <w:ind w:left="375" w:hanging="375"/>
      </w:pPr>
      <w:rPr>
        <w:rFonts w:ascii="Times" w:hAnsi="Times" w:hint="default"/>
      </w:rPr>
    </w:lvl>
  </w:abstractNum>
  <w:abstractNum w:abstractNumId="11">
    <w:nsid w:val="18594FFC"/>
    <w:multiLevelType w:val="hybridMultilevel"/>
    <w:tmpl w:val="68A04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E3D56"/>
    <w:multiLevelType w:val="hybridMultilevel"/>
    <w:tmpl w:val="68A04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94B79"/>
    <w:multiLevelType w:val="multilevel"/>
    <w:tmpl w:val="486E1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392F3D"/>
    <w:multiLevelType w:val="multilevel"/>
    <w:tmpl w:val="E43A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DB717B"/>
    <w:multiLevelType w:val="hybridMultilevel"/>
    <w:tmpl w:val="BB1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44A04"/>
    <w:multiLevelType w:val="hybridMultilevel"/>
    <w:tmpl w:val="7776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E3D89"/>
    <w:multiLevelType w:val="hybridMultilevel"/>
    <w:tmpl w:val="02DE3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83C3B"/>
    <w:multiLevelType w:val="multilevel"/>
    <w:tmpl w:val="E6C0F3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B364811"/>
    <w:multiLevelType w:val="hybridMultilevel"/>
    <w:tmpl w:val="F88C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BC6262"/>
    <w:multiLevelType w:val="hybridMultilevel"/>
    <w:tmpl w:val="1698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1B17DB"/>
    <w:multiLevelType w:val="hybridMultilevel"/>
    <w:tmpl w:val="BDC22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BD85A27"/>
    <w:multiLevelType w:val="hybridMultilevel"/>
    <w:tmpl w:val="ABD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EE199F"/>
    <w:multiLevelType w:val="multilevel"/>
    <w:tmpl w:val="E756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A25DAB"/>
    <w:multiLevelType w:val="hybridMultilevel"/>
    <w:tmpl w:val="486E1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A75DA9"/>
    <w:multiLevelType w:val="hybridMultilevel"/>
    <w:tmpl w:val="AE0EBE98"/>
    <w:lvl w:ilvl="0" w:tplc="9D44C7C0">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20707"/>
    <w:multiLevelType w:val="hybridMultilevel"/>
    <w:tmpl w:val="68A04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FA6274"/>
    <w:multiLevelType w:val="hybridMultilevel"/>
    <w:tmpl w:val="B36823D6"/>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28">
    <w:nsid w:val="6EF2006F"/>
    <w:multiLevelType w:val="hybridMultilevel"/>
    <w:tmpl w:val="C69A8722"/>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nsid w:val="726016DF"/>
    <w:multiLevelType w:val="hybridMultilevel"/>
    <w:tmpl w:val="2FB482A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0">
    <w:nsid w:val="741F21DA"/>
    <w:multiLevelType w:val="hybridMultilevel"/>
    <w:tmpl w:val="DB18D1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813CE2"/>
    <w:multiLevelType w:val="hybridMultilevel"/>
    <w:tmpl w:val="BE648056"/>
    <w:lvl w:ilvl="0" w:tplc="561E3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A001A9"/>
    <w:multiLevelType w:val="hybridMultilevel"/>
    <w:tmpl w:val="D6C6F0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6"/>
  </w:num>
  <w:num w:numId="3">
    <w:abstractNumId w:val="21"/>
  </w:num>
  <w:num w:numId="4">
    <w:abstractNumId w:val="20"/>
  </w:num>
  <w:num w:numId="5">
    <w:abstractNumId w:val="5"/>
  </w:num>
  <w:num w:numId="6">
    <w:abstractNumId w:val="24"/>
  </w:num>
  <w:num w:numId="7">
    <w:abstractNumId w:val="13"/>
  </w:num>
  <w:num w:numId="8">
    <w:abstractNumId w:val="11"/>
  </w:num>
  <w:num w:numId="9">
    <w:abstractNumId w:val="7"/>
  </w:num>
  <w:num w:numId="10">
    <w:abstractNumId w:val="27"/>
  </w:num>
  <w:num w:numId="11">
    <w:abstractNumId w:val="26"/>
  </w:num>
  <w:num w:numId="12">
    <w:abstractNumId w:val="12"/>
  </w:num>
  <w:num w:numId="13">
    <w:abstractNumId w:val="0"/>
  </w:num>
  <w:num w:numId="14">
    <w:abstractNumId w:val="9"/>
  </w:num>
  <w:num w:numId="15">
    <w:abstractNumId w:val="16"/>
  </w:num>
  <w:num w:numId="16">
    <w:abstractNumId w:val="19"/>
  </w:num>
  <w:num w:numId="17">
    <w:abstractNumId w:val="22"/>
  </w:num>
  <w:num w:numId="18">
    <w:abstractNumId w:val="1"/>
  </w:num>
  <w:num w:numId="19">
    <w:abstractNumId w:val="17"/>
  </w:num>
  <w:num w:numId="20">
    <w:abstractNumId w:val="31"/>
  </w:num>
  <w:num w:numId="21">
    <w:abstractNumId w:val="3"/>
  </w:num>
  <w:num w:numId="22">
    <w:abstractNumId w:val="15"/>
  </w:num>
  <w:num w:numId="23">
    <w:abstractNumId w:val="29"/>
  </w:num>
  <w:num w:numId="24">
    <w:abstractNumId w:val="28"/>
  </w:num>
  <w:num w:numId="25">
    <w:abstractNumId w:val="14"/>
  </w:num>
  <w:num w:numId="26">
    <w:abstractNumId w:val="2"/>
  </w:num>
  <w:num w:numId="27">
    <w:abstractNumId w:val="4"/>
  </w:num>
  <w:num w:numId="28">
    <w:abstractNumId w:val="23"/>
  </w:num>
  <w:num w:numId="29">
    <w:abstractNumId w:val="18"/>
  </w:num>
  <w:num w:numId="30">
    <w:abstractNumId w:val="8"/>
  </w:num>
  <w:num w:numId="31">
    <w:abstractNumId w:val="10"/>
  </w:num>
  <w:num w:numId="32">
    <w:abstractNumId w:val="32"/>
  </w:num>
  <w:num w:numId="33">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Version" w:val="1"/>
    <w:docVar w:name="DOCID" w:val="OK"/>
  </w:docVars>
  <w:rsids>
    <w:rsidRoot w:val="00E44588"/>
    <w:rsid w:val="00056B08"/>
    <w:rsid w:val="001E7F6E"/>
    <w:rsid w:val="00277A3D"/>
    <w:rsid w:val="002C1CC1"/>
    <w:rsid w:val="002C485F"/>
    <w:rsid w:val="002E3D3C"/>
    <w:rsid w:val="0033169F"/>
    <w:rsid w:val="003C7692"/>
    <w:rsid w:val="0048742B"/>
    <w:rsid w:val="005B5F88"/>
    <w:rsid w:val="00657459"/>
    <w:rsid w:val="0075772F"/>
    <w:rsid w:val="00894F93"/>
    <w:rsid w:val="009500B3"/>
    <w:rsid w:val="00B8662C"/>
    <w:rsid w:val="00C50B68"/>
    <w:rsid w:val="00C71043"/>
    <w:rsid w:val="00D150E7"/>
    <w:rsid w:val="00DF6A1D"/>
    <w:rsid w:val="00E21D00"/>
    <w:rsid w:val="00E30A38"/>
    <w:rsid w:val="00E445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33169F"/>
    <w:pPr>
      <w:spacing w:after="200" w:line="264" w:lineRule="auto"/>
      <w:jc w:val="both"/>
    </w:pPr>
    <w:rPr>
      <w:sz w:val="22"/>
      <w:szCs w:val="22"/>
    </w:rPr>
  </w:style>
  <w:style w:type="paragraph" w:styleId="Heading1">
    <w:name w:val="heading 1"/>
    <w:basedOn w:val="Normal"/>
    <w:next w:val="Normal"/>
    <w:link w:val="Heading1Char"/>
    <w:uiPriority w:val="9"/>
    <w:qFormat/>
    <w:rsid w:val="003D29FC"/>
    <w:pPr>
      <w:spacing w:before="300" w:after="40"/>
      <w:jc w:val="left"/>
      <w:outlineLvl w:val="0"/>
    </w:pPr>
    <w:rPr>
      <w:rFonts w:ascii="Cambria" w:hAnsi="Cambria"/>
      <w:smallCaps/>
      <w:spacing w:val="5"/>
      <w:sz w:val="36"/>
      <w:szCs w:val="36"/>
    </w:rPr>
  </w:style>
  <w:style w:type="paragraph" w:styleId="Heading2">
    <w:name w:val="heading 2"/>
    <w:basedOn w:val="Normal"/>
    <w:next w:val="Normal"/>
    <w:link w:val="Heading2Char"/>
    <w:uiPriority w:val="9"/>
    <w:qFormat/>
    <w:rsid w:val="003D29FC"/>
    <w:pPr>
      <w:spacing w:before="240" w:after="80"/>
      <w:jc w:val="left"/>
      <w:outlineLvl w:val="1"/>
    </w:pPr>
    <w:rPr>
      <w:rFonts w:ascii="Cambria" w:hAnsi="Cambria"/>
      <w:smallCaps/>
      <w:spacing w:val="5"/>
      <w:sz w:val="32"/>
      <w:szCs w:val="32"/>
    </w:rPr>
  </w:style>
  <w:style w:type="paragraph" w:styleId="Heading3">
    <w:name w:val="heading 3"/>
    <w:basedOn w:val="Normal"/>
    <w:next w:val="Normal"/>
    <w:link w:val="Heading3Char"/>
    <w:uiPriority w:val="9"/>
    <w:qFormat/>
    <w:rsid w:val="003D29FC"/>
    <w:pPr>
      <w:pBdr>
        <w:bottom w:val="single" w:sz="4" w:space="1" w:color="auto"/>
      </w:pBdr>
      <w:spacing w:after="60"/>
      <w:jc w:val="left"/>
      <w:outlineLvl w:val="2"/>
    </w:pPr>
    <w:rPr>
      <w:rFonts w:ascii="Cambria" w:hAnsi="Cambria"/>
      <w:smallCaps/>
      <w:spacing w:val="20"/>
      <w:sz w:val="30"/>
      <w:szCs w:val="30"/>
    </w:rPr>
  </w:style>
  <w:style w:type="paragraph" w:styleId="Heading4">
    <w:name w:val="heading 4"/>
    <w:basedOn w:val="Normal"/>
    <w:next w:val="Normal"/>
    <w:link w:val="Heading4Char"/>
    <w:uiPriority w:val="9"/>
    <w:qFormat/>
    <w:rsid w:val="003D29FC"/>
    <w:pPr>
      <w:spacing w:before="240" w:after="60"/>
      <w:jc w:val="left"/>
      <w:outlineLvl w:val="3"/>
    </w:pPr>
    <w:rPr>
      <w:rFonts w:ascii="Cambria" w:hAnsi="Cambria"/>
      <w:b/>
      <w:sz w:val="26"/>
      <w:szCs w:val="26"/>
    </w:rPr>
  </w:style>
  <w:style w:type="paragraph" w:styleId="Heading5">
    <w:name w:val="heading 5"/>
    <w:basedOn w:val="Normal"/>
    <w:next w:val="Normal"/>
    <w:link w:val="Heading5Char"/>
    <w:uiPriority w:val="9"/>
    <w:qFormat/>
    <w:rsid w:val="003D29FC"/>
    <w:pPr>
      <w:outlineLvl w:val="4"/>
    </w:pPr>
    <w:rPr>
      <w:rFonts w:ascii="Cambria" w:hAnsi="Cambria"/>
      <w:smallCaps/>
      <w:sz w:val="24"/>
    </w:rPr>
  </w:style>
  <w:style w:type="paragraph" w:styleId="Heading6">
    <w:name w:val="heading 6"/>
    <w:basedOn w:val="Normal"/>
    <w:next w:val="Normal"/>
    <w:link w:val="Heading6Char"/>
    <w:uiPriority w:val="9"/>
    <w:qFormat/>
    <w:rsid w:val="003D29FC"/>
    <w:pPr>
      <w:spacing w:after="0"/>
      <w:jc w:val="left"/>
      <w:outlineLvl w:val="5"/>
    </w:pPr>
    <w:rPr>
      <w:rFonts w:ascii="Cambria" w:hAnsi="Cambria"/>
      <w:b/>
      <w:i/>
      <w:color w:val="000000"/>
      <w:spacing w:val="5"/>
    </w:rPr>
  </w:style>
  <w:style w:type="paragraph" w:styleId="Heading7">
    <w:name w:val="heading 7"/>
    <w:aliases w:val="Table Title,Table Heading"/>
    <w:basedOn w:val="Normal"/>
    <w:next w:val="Normal"/>
    <w:link w:val="Heading7Char"/>
    <w:qFormat/>
    <w:rsid w:val="003D29FC"/>
    <w:pPr>
      <w:spacing w:after="0"/>
      <w:jc w:val="left"/>
      <w:outlineLvl w:val="6"/>
    </w:pPr>
    <w:rPr>
      <w:b/>
      <w:i/>
      <w:smallCaps/>
      <w:color w:val="000000"/>
      <w:spacing w:val="2"/>
    </w:rPr>
  </w:style>
  <w:style w:type="paragraph" w:styleId="Heading8">
    <w:name w:val="heading 8"/>
    <w:aliases w:val="Heading 8 - Table Heading Row"/>
    <w:basedOn w:val="Heading5"/>
    <w:next w:val="Normal"/>
    <w:link w:val="Heading8Char"/>
    <w:uiPriority w:val="9"/>
    <w:qFormat/>
    <w:rsid w:val="003D29FC"/>
    <w:pPr>
      <w:spacing w:after="0"/>
      <w:jc w:val="left"/>
      <w:outlineLvl w:val="7"/>
    </w:pPr>
    <w:rPr>
      <w:sz w:val="20"/>
    </w:rPr>
  </w:style>
  <w:style w:type="paragraph" w:styleId="Heading9">
    <w:name w:val="heading 9"/>
    <w:basedOn w:val="Normal"/>
    <w:next w:val="Normal"/>
    <w:link w:val="Heading9Char"/>
    <w:uiPriority w:val="9"/>
    <w:qFormat/>
    <w:rsid w:val="003D29FC"/>
    <w:pPr>
      <w:spacing w:after="0"/>
      <w:jc w:val="left"/>
      <w:outlineLvl w:val="8"/>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089F"/>
    <w:rPr>
      <w:rFonts w:ascii="Cambria" w:hAnsi="Cambria"/>
      <w:smallCaps/>
      <w:spacing w:val="5"/>
      <w:sz w:val="36"/>
      <w:szCs w:val="36"/>
    </w:rPr>
  </w:style>
  <w:style w:type="character" w:customStyle="1" w:styleId="Heading2Char">
    <w:name w:val="Heading 2 Char"/>
    <w:link w:val="Heading2"/>
    <w:uiPriority w:val="9"/>
    <w:rsid w:val="000B089F"/>
    <w:rPr>
      <w:rFonts w:ascii="Cambria" w:hAnsi="Cambria"/>
      <w:smallCaps/>
      <w:spacing w:val="5"/>
      <w:sz w:val="32"/>
      <w:szCs w:val="32"/>
    </w:rPr>
  </w:style>
  <w:style w:type="character" w:customStyle="1" w:styleId="Heading3Char">
    <w:name w:val="Heading 3 Char"/>
    <w:link w:val="Heading3"/>
    <w:uiPriority w:val="9"/>
    <w:rsid w:val="003551DF"/>
    <w:rPr>
      <w:rFonts w:ascii="Cambria" w:hAnsi="Cambria"/>
      <w:smallCaps/>
      <w:spacing w:val="20"/>
      <w:sz w:val="30"/>
      <w:szCs w:val="30"/>
    </w:rPr>
  </w:style>
  <w:style w:type="character" w:customStyle="1" w:styleId="Heading4Char">
    <w:name w:val="Heading 4 Char"/>
    <w:link w:val="Heading4"/>
    <w:uiPriority w:val="9"/>
    <w:rsid w:val="003551DF"/>
    <w:rPr>
      <w:rFonts w:ascii="Cambria" w:hAnsi="Cambria"/>
      <w:b/>
      <w:sz w:val="26"/>
      <w:szCs w:val="26"/>
    </w:rPr>
  </w:style>
  <w:style w:type="character" w:customStyle="1" w:styleId="Heading5Char">
    <w:name w:val="Heading 5 Char"/>
    <w:link w:val="Heading5"/>
    <w:uiPriority w:val="9"/>
    <w:rsid w:val="00F52034"/>
    <w:rPr>
      <w:rFonts w:ascii="Cambria" w:hAnsi="Cambria"/>
      <w:smallCaps/>
      <w:sz w:val="24"/>
      <w:szCs w:val="22"/>
    </w:rPr>
  </w:style>
  <w:style w:type="character" w:customStyle="1" w:styleId="Heading6Char">
    <w:name w:val="Heading 6 Char"/>
    <w:link w:val="Heading6"/>
    <w:uiPriority w:val="9"/>
    <w:rsid w:val="00F52034"/>
    <w:rPr>
      <w:rFonts w:ascii="Cambria" w:hAnsi="Cambria"/>
      <w:b/>
      <w:i/>
      <w:color w:val="000000"/>
      <w:spacing w:val="5"/>
      <w:sz w:val="22"/>
      <w:szCs w:val="22"/>
    </w:rPr>
  </w:style>
  <w:style w:type="character" w:customStyle="1" w:styleId="Heading7Char">
    <w:name w:val="Heading 7 Char"/>
    <w:aliases w:val="Table Title Char,Table Heading Char"/>
    <w:link w:val="Heading7"/>
    <w:uiPriority w:val="9"/>
    <w:rsid w:val="00F52034"/>
    <w:rPr>
      <w:b/>
      <w:i/>
      <w:smallCaps/>
      <w:color w:val="000000"/>
      <w:spacing w:val="2"/>
      <w:sz w:val="22"/>
      <w:szCs w:val="22"/>
    </w:rPr>
  </w:style>
  <w:style w:type="character" w:customStyle="1" w:styleId="Heading8Char">
    <w:name w:val="Heading 8 Char"/>
    <w:aliases w:val="Heading 8 - Table Heading Row Char"/>
    <w:link w:val="Heading8"/>
    <w:uiPriority w:val="9"/>
    <w:rsid w:val="00156561"/>
    <w:rPr>
      <w:rFonts w:ascii="Cambria" w:hAnsi="Cambria"/>
      <w:smallCaps/>
      <w:szCs w:val="22"/>
    </w:rPr>
  </w:style>
  <w:style w:type="character" w:customStyle="1" w:styleId="Heading9Char">
    <w:name w:val="Heading 9 Char"/>
    <w:link w:val="Heading9"/>
    <w:uiPriority w:val="9"/>
    <w:rsid w:val="00156561"/>
    <w:rPr>
      <w:b/>
      <w:i/>
      <w:color w:val="7F7F7F"/>
      <w:sz w:val="22"/>
      <w:szCs w:val="22"/>
    </w:rPr>
  </w:style>
  <w:style w:type="paragraph" w:styleId="BalloonText">
    <w:name w:val="Balloon Text"/>
    <w:basedOn w:val="Normal"/>
    <w:link w:val="BalloonTextChar"/>
    <w:uiPriority w:val="99"/>
    <w:semiHidden/>
    <w:unhideWhenUsed/>
    <w:rsid w:val="003D29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9FC"/>
    <w:rPr>
      <w:rFonts w:ascii="Tahoma" w:hAnsi="Tahoma" w:cs="Tahoma"/>
      <w:sz w:val="16"/>
      <w:szCs w:val="16"/>
    </w:rPr>
  </w:style>
  <w:style w:type="paragraph" w:styleId="Footer">
    <w:name w:val="footer"/>
    <w:basedOn w:val="Normal"/>
    <w:link w:val="FooterChar"/>
    <w:uiPriority w:val="99"/>
    <w:unhideWhenUsed/>
    <w:rsid w:val="003D29FC"/>
    <w:pPr>
      <w:tabs>
        <w:tab w:val="center" w:pos="4680"/>
        <w:tab w:val="right" w:pos="9360"/>
      </w:tabs>
      <w:spacing w:after="0" w:line="240" w:lineRule="auto"/>
    </w:pPr>
  </w:style>
  <w:style w:type="character" w:customStyle="1" w:styleId="FooterChar">
    <w:name w:val="Footer Char"/>
    <w:link w:val="Footer"/>
    <w:uiPriority w:val="99"/>
    <w:rsid w:val="003D29FC"/>
    <w:rPr>
      <w:sz w:val="22"/>
      <w:szCs w:val="22"/>
    </w:rPr>
  </w:style>
  <w:style w:type="paragraph" w:styleId="Header">
    <w:name w:val="header"/>
    <w:aliases w:val="First Page"/>
    <w:basedOn w:val="Heading1"/>
    <w:link w:val="HeaderChar"/>
    <w:uiPriority w:val="99"/>
    <w:unhideWhenUsed/>
    <w:rsid w:val="004437D4"/>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4437D4"/>
    <w:rPr>
      <w:rFonts w:ascii="Cambria" w:hAnsi="Cambria"/>
      <w:smallCaps/>
      <w:spacing w:val="5"/>
      <w:sz w:val="36"/>
      <w:szCs w:val="36"/>
    </w:rPr>
  </w:style>
  <w:style w:type="character" w:styleId="Hyperlink">
    <w:name w:val="Hyperlink"/>
    <w:uiPriority w:val="99"/>
    <w:unhideWhenUsed/>
    <w:rsid w:val="003D29FC"/>
    <w:rPr>
      <w:color w:val="0000FF"/>
      <w:u w:val="single"/>
    </w:rPr>
  </w:style>
  <w:style w:type="paragraph" w:styleId="ListBullet">
    <w:name w:val="List Bullet"/>
    <w:basedOn w:val="Normal"/>
    <w:uiPriority w:val="99"/>
    <w:unhideWhenUsed/>
    <w:qFormat/>
    <w:rsid w:val="003D29FC"/>
    <w:pPr>
      <w:numPr>
        <w:numId w:val="1"/>
      </w:numPr>
      <w:contextualSpacing/>
    </w:pPr>
  </w:style>
  <w:style w:type="paragraph" w:styleId="ListBullet2">
    <w:name w:val="List Bullet 2"/>
    <w:basedOn w:val="Normal"/>
    <w:uiPriority w:val="99"/>
    <w:unhideWhenUsed/>
    <w:qFormat/>
    <w:rsid w:val="00D43ACA"/>
    <w:pPr>
      <w:numPr>
        <w:numId w:val="2"/>
      </w:numPr>
      <w:contextualSpacing/>
    </w:pPr>
  </w:style>
  <w:style w:type="paragraph" w:styleId="ListBullet3">
    <w:name w:val="List Bullet 3"/>
    <w:basedOn w:val="Normal"/>
    <w:uiPriority w:val="99"/>
    <w:unhideWhenUsed/>
    <w:qFormat/>
    <w:rsid w:val="003D29FC"/>
    <w:pPr>
      <w:tabs>
        <w:tab w:val="num" w:pos="1080"/>
      </w:tabs>
      <w:ind w:left="1080" w:hanging="360"/>
      <w:contextualSpacing/>
    </w:pPr>
  </w:style>
  <w:style w:type="paragraph" w:styleId="ListNumber">
    <w:name w:val="List Number"/>
    <w:basedOn w:val="Normal"/>
    <w:uiPriority w:val="99"/>
    <w:unhideWhenUsed/>
    <w:rsid w:val="003D29FC"/>
    <w:pPr>
      <w:tabs>
        <w:tab w:val="num" w:pos="360"/>
      </w:tabs>
      <w:ind w:left="360" w:hanging="360"/>
      <w:contextualSpacing/>
    </w:pPr>
  </w:style>
  <w:style w:type="paragraph" w:styleId="ListNumber2">
    <w:name w:val="List Number 2"/>
    <w:basedOn w:val="Normal"/>
    <w:uiPriority w:val="99"/>
    <w:unhideWhenUsed/>
    <w:rsid w:val="003D29FC"/>
    <w:pPr>
      <w:tabs>
        <w:tab w:val="num" w:pos="720"/>
      </w:tabs>
      <w:ind w:left="720" w:hanging="360"/>
      <w:contextualSpacing/>
    </w:pPr>
  </w:style>
  <w:style w:type="paragraph" w:styleId="ListNumber3">
    <w:name w:val="List Number 3"/>
    <w:basedOn w:val="Normal"/>
    <w:uiPriority w:val="99"/>
    <w:unhideWhenUsed/>
    <w:rsid w:val="003D29FC"/>
    <w:pPr>
      <w:tabs>
        <w:tab w:val="num" w:pos="1080"/>
      </w:tabs>
      <w:ind w:left="1080" w:hanging="360"/>
      <w:contextualSpacing/>
    </w:pPr>
  </w:style>
  <w:style w:type="paragraph" w:customStyle="1" w:styleId="ColorfulList-Accent11">
    <w:name w:val="Colorful List - Accent 11"/>
    <w:basedOn w:val="Normal"/>
    <w:uiPriority w:val="99"/>
    <w:qFormat/>
    <w:rsid w:val="003D29FC"/>
    <w:pPr>
      <w:ind w:left="1080" w:hanging="360"/>
      <w:contextualSpacing/>
    </w:pPr>
  </w:style>
  <w:style w:type="paragraph" w:styleId="NormalWeb">
    <w:name w:val="Normal (Web)"/>
    <w:basedOn w:val="Normal"/>
    <w:uiPriority w:val="99"/>
    <w:semiHidden/>
    <w:unhideWhenUsed/>
    <w:rsid w:val="003D29FC"/>
    <w:pPr>
      <w:spacing w:before="168" w:after="216" w:line="240" w:lineRule="auto"/>
      <w:jc w:val="left"/>
    </w:pPr>
    <w:rPr>
      <w:rFonts w:ascii="Times New Roman" w:hAnsi="Times New Roman"/>
      <w:sz w:val="24"/>
      <w:szCs w:val="24"/>
    </w:rPr>
  </w:style>
  <w:style w:type="paragraph" w:customStyle="1" w:styleId="ColorfulGrid-Accent11">
    <w:name w:val="Colorful Grid - Accent 11"/>
    <w:basedOn w:val="Normal"/>
    <w:next w:val="Normal"/>
    <w:link w:val="ColorfulGrid-Accent1Char1"/>
    <w:uiPriority w:val="29"/>
    <w:qFormat/>
    <w:rsid w:val="0033169F"/>
    <w:rPr>
      <w:i/>
    </w:rPr>
  </w:style>
  <w:style w:type="character" w:customStyle="1" w:styleId="ColorfulGrid-Accent1Char1">
    <w:name w:val="Colorful Grid - Accent 1 Char1"/>
    <w:link w:val="ColorfulGrid-Accent11"/>
    <w:uiPriority w:val="29"/>
    <w:rsid w:val="003D29FC"/>
    <w:rPr>
      <w:i/>
      <w:sz w:val="22"/>
      <w:szCs w:val="22"/>
    </w:rPr>
  </w:style>
  <w:style w:type="paragraph" w:customStyle="1" w:styleId="Source">
    <w:name w:val="Source"/>
    <w:next w:val="Normal"/>
    <w:qFormat/>
    <w:rsid w:val="003D29FC"/>
    <w:pPr>
      <w:spacing w:after="160" w:line="288" w:lineRule="auto"/>
      <w:ind w:left="90"/>
      <w:jc w:val="both"/>
    </w:pPr>
    <w:rPr>
      <w:i/>
      <w:iCs/>
      <w:smallCaps/>
      <w:lang w:bidi="en-US"/>
    </w:rPr>
  </w:style>
  <w:style w:type="table" w:styleId="TableGrid">
    <w:name w:val="Table Grid"/>
    <w:basedOn w:val="TableNormal"/>
    <w:uiPriority w:val="1"/>
    <w:rsid w:val="003D29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3D29FC"/>
    <w:pPr>
      <w:ind w:left="21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3D29FC"/>
  </w:style>
  <w:style w:type="paragraph" w:customStyle="1" w:styleId="TableText">
    <w:name w:val="Table Text"/>
    <w:basedOn w:val="Normal"/>
    <w:link w:val="TableTextChar"/>
    <w:rsid w:val="003D29FC"/>
    <w:pPr>
      <w:spacing w:before="120" w:after="120" w:line="240" w:lineRule="auto"/>
    </w:pPr>
    <w:rPr>
      <w:rFonts w:ascii="Cambria" w:hAnsi="Cambria"/>
      <w:sz w:val="18"/>
      <w:szCs w:val="18"/>
    </w:rPr>
  </w:style>
  <w:style w:type="paragraph" w:customStyle="1" w:styleId="TextBox">
    <w:name w:val="Text Box"/>
    <w:basedOn w:val="Normal"/>
    <w:rsid w:val="003D29FC"/>
    <w:pPr>
      <w:spacing w:after="0" w:line="240" w:lineRule="auto"/>
      <w:jc w:val="left"/>
    </w:pPr>
    <w:rPr>
      <w:rFonts w:ascii="Arial" w:hAnsi="Arial"/>
      <w:b/>
      <w:caps/>
      <w:spacing w:val="-3"/>
      <w:sz w:val="28"/>
    </w:rPr>
  </w:style>
  <w:style w:type="paragraph" w:customStyle="1" w:styleId="TOCHeading1">
    <w:name w:val="TOC Heading1"/>
    <w:basedOn w:val="Heading1"/>
    <w:next w:val="Normal"/>
    <w:uiPriority w:val="39"/>
    <w:unhideWhenUsed/>
    <w:qFormat/>
    <w:rsid w:val="0033169F"/>
    <w:pPr>
      <w:outlineLvl w:val="9"/>
    </w:pPr>
  </w:style>
  <w:style w:type="paragraph" w:customStyle="1" w:styleId="TOCHeading10">
    <w:name w:val="TOC Heading1"/>
    <w:basedOn w:val="Heading1"/>
    <w:next w:val="Normal"/>
    <w:uiPriority w:val="39"/>
    <w:unhideWhenUsed/>
    <w:qFormat/>
    <w:rsid w:val="003D29FC"/>
  </w:style>
  <w:style w:type="paragraph" w:customStyle="1" w:styleId="Header-EvenPage">
    <w:name w:val="Header - Even Page"/>
    <w:basedOn w:val="Header"/>
    <w:qFormat/>
    <w:rsid w:val="004437D4"/>
    <w:rPr>
      <w:sz w:val="32"/>
    </w:rPr>
  </w:style>
  <w:style w:type="paragraph" w:customStyle="1" w:styleId="MediumGrid21">
    <w:name w:val="Medium Grid 21"/>
    <w:link w:val="MediumGrid2Char"/>
    <w:uiPriority w:val="1"/>
    <w:qFormat/>
    <w:rsid w:val="00DE2F6A"/>
    <w:pPr>
      <w:jc w:val="both"/>
    </w:pPr>
    <w:rPr>
      <w:sz w:val="22"/>
      <w:szCs w:val="22"/>
    </w:rPr>
  </w:style>
  <w:style w:type="character" w:customStyle="1" w:styleId="Impact-MMChar">
    <w:name w:val="Impact-MM Char"/>
    <w:rsid w:val="00D43ACA"/>
    <w:rPr>
      <w:rFonts w:ascii="Century Gothic" w:hAnsi="Century Gothic"/>
      <w:bCs/>
      <w:szCs w:val="24"/>
      <w:lang w:val="en-US" w:eastAsia="en-US" w:bidi="ar-SA"/>
    </w:rPr>
  </w:style>
  <w:style w:type="paragraph" w:customStyle="1" w:styleId="ColorfulGrid-Accent110">
    <w:name w:val="Colorful Grid - Accent 11"/>
    <w:basedOn w:val="Normal"/>
    <w:next w:val="Normal"/>
    <w:link w:val="ColorfulGrid-Accent1Char"/>
    <w:uiPriority w:val="29"/>
    <w:qFormat/>
    <w:rsid w:val="00D43ACA"/>
    <w:pPr>
      <w:spacing w:after="160"/>
      <w:ind w:left="2160"/>
    </w:pPr>
    <w:rPr>
      <w:i/>
      <w:iCs/>
      <w:color w:val="0F243E"/>
      <w:szCs w:val="20"/>
      <w:lang w:bidi="en-US"/>
    </w:rPr>
  </w:style>
  <w:style w:type="character" w:customStyle="1" w:styleId="ColorfulGrid-Accent1Char">
    <w:name w:val="Colorful Grid - Accent 1 Char"/>
    <w:link w:val="ColorfulGrid-Accent110"/>
    <w:uiPriority w:val="29"/>
    <w:rsid w:val="00D43ACA"/>
    <w:rPr>
      <w:i/>
      <w:iCs/>
      <w:color w:val="0F243E"/>
      <w:sz w:val="22"/>
      <w:lang w:bidi="en-US"/>
    </w:rPr>
  </w:style>
  <w:style w:type="character" w:customStyle="1" w:styleId="SubtleEmphasis1">
    <w:name w:val="Subtle Emphasis1"/>
    <w:uiPriority w:val="19"/>
    <w:qFormat/>
    <w:rsid w:val="00D43ACA"/>
    <w:rPr>
      <w:smallCaps/>
      <w:dstrike w:val="0"/>
      <w:color w:val="5A5A5A"/>
      <w:vertAlign w:val="baseline"/>
    </w:rPr>
  </w:style>
  <w:style w:type="character" w:customStyle="1" w:styleId="SubtleEmphasis2">
    <w:name w:val="Subtle Emphasis2"/>
    <w:uiPriority w:val="19"/>
    <w:qFormat/>
    <w:rsid w:val="00D43ACA"/>
    <w:rPr>
      <w:i/>
      <w:iCs/>
      <w:color w:val="808080"/>
    </w:rPr>
  </w:style>
  <w:style w:type="character" w:styleId="Emphasis">
    <w:name w:val="Emphasis"/>
    <w:uiPriority w:val="20"/>
    <w:qFormat/>
    <w:rsid w:val="00D43ACA"/>
    <w:rPr>
      <w:i/>
      <w:iCs/>
    </w:rPr>
  </w:style>
  <w:style w:type="paragraph" w:styleId="Subtitle">
    <w:name w:val="Subtitle"/>
    <w:basedOn w:val="Normal"/>
    <w:next w:val="Normal"/>
    <w:link w:val="SubtitleChar"/>
    <w:uiPriority w:val="11"/>
    <w:qFormat/>
    <w:rsid w:val="00E270BF"/>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E270BF"/>
    <w:rPr>
      <w:rFonts w:ascii="Cambria" w:eastAsia="Times New Roman" w:hAnsi="Cambria" w:cs="Times New Roman"/>
      <w:i/>
      <w:iCs/>
      <w:color w:val="4F81BD"/>
      <w:spacing w:val="15"/>
      <w:sz w:val="24"/>
      <w:szCs w:val="24"/>
    </w:rPr>
  </w:style>
  <w:style w:type="character" w:styleId="CommentReference">
    <w:name w:val="annotation reference"/>
    <w:unhideWhenUsed/>
    <w:rsid w:val="00155EB8"/>
    <w:rPr>
      <w:sz w:val="16"/>
      <w:szCs w:val="16"/>
    </w:rPr>
  </w:style>
  <w:style w:type="paragraph" w:styleId="CommentText">
    <w:name w:val="annotation text"/>
    <w:basedOn w:val="Normal"/>
    <w:link w:val="CommentTextChar"/>
    <w:unhideWhenUsed/>
    <w:rsid w:val="00155EB8"/>
    <w:pPr>
      <w:spacing w:line="240" w:lineRule="auto"/>
    </w:pPr>
    <w:rPr>
      <w:sz w:val="20"/>
      <w:szCs w:val="20"/>
    </w:rPr>
  </w:style>
  <w:style w:type="character" w:customStyle="1" w:styleId="CommentTextChar">
    <w:name w:val="Comment Text Char"/>
    <w:basedOn w:val="DefaultParagraphFont"/>
    <w:link w:val="CommentText"/>
    <w:rsid w:val="00155EB8"/>
  </w:style>
  <w:style w:type="paragraph" w:styleId="CommentSubject">
    <w:name w:val="annotation subject"/>
    <w:basedOn w:val="CommentText"/>
    <w:next w:val="CommentText"/>
    <w:link w:val="CommentSubjectChar"/>
    <w:uiPriority w:val="99"/>
    <w:semiHidden/>
    <w:unhideWhenUsed/>
    <w:rsid w:val="00155EB8"/>
    <w:rPr>
      <w:b/>
      <w:bCs/>
    </w:rPr>
  </w:style>
  <w:style w:type="character" w:customStyle="1" w:styleId="CommentSubjectChar">
    <w:name w:val="Comment Subject Char"/>
    <w:link w:val="CommentSubject"/>
    <w:uiPriority w:val="99"/>
    <w:semiHidden/>
    <w:rsid w:val="00155EB8"/>
    <w:rPr>
      <w:b/>
      <w:bCs/>
    </w:rPr>
  </w:style>
  <w:style w:type="paragraph" w:customStyle="1" w:styleId="ColorfulShading-Accent11">
    <w:name w:val="Colorful Shading - Accent 11"/>
    <w:hidden/>
    <w:uiPriority w:val="99"/>
    <w:semiHidden/>
    <w:rsid w:val="00155EB8"/>
    <w:rPr>
      <w:sz w:val="22"/>
      <w:szCs w:val="22"/>
    </w:rPr>
  </w:style>
  <w:style w:type="character" w:styleId="FollowedHyperlink">
    <w:name w:val="FollowedHyperlink"/>
    <w:uiPriority w:val="99"/>
    <w:rsid w:val="0052202B"/>
    <w:rPr>
      <w:color w:val="993366"/>
      <w:u w:val="single"/>
    </w:rPr>
  </w:style>
  <w:style w:type="paragraph" w:customStyle="1" w:styleId="font5">
    <w:name w:val="font5"/>
    <w:basedOn w:val="Normal"/>
    <w:rsid w:val="0052202B"/>
    <w:pPr>
      <w:spacing w:beforeLines="1" w:afterLines="1" w:line="240" w:lineRule="auto"/>
      <w:jc w:val="left"/>
    </w:pPr>
    <w:rPr>
      <w:rFonts w:ascii="Verdana" w:hAnsi="Verdana"/>
      <w:sz w:val="16"/>
      <w:szCs w:val="16"/>
    </w:rPr>
  </w:style>
  <w:style w:type="paragraph" w:customStyle="1" w:styleId="xl24">
    <w:name w:val="xl24"/>
    <w:basedOn w:val="Normal"/>
    <w:rsid w:val="0052202B"/>
    <w:pPr>
      <w:pBdr>
        <w:top w:val="single" w:sz="8" w:space="0" w:color="000000"/>
        <w:bottom w:val="single" w:sz="8" w:space="0" w:color="000000"/>
        <w:right w:val="single" w:sz="8" w:space="0" w:color="000000"/>
      </w:pBdr>
      <w:spacing w:beforeLines="1" w:afterLines="1" w:line="240" w:lineRule="auto"/>
      <w:jc w:val="left"/>
      <w:textAlignment w:val="top"/>
    </w:pPr>
    <w:rPr>
      <w:rFonts w:ascii="Arial" w:hAnsi="Arial"/>
      <w:b/>
      <w:bCs/>
      <w:sz w:val="24"/>
      <w:szCs w:val="24"/>
    </w:rPr>
  </w:style>
  <w:style w:type="paragraph" w:customStyle="1" w:styleId="xl25">
    <w:name w:val="xl25"/>
    <w:basedOn w:val="Normal"/>
    <w:rsid w:val="0052202B"/>
    <w:pPr>
      <w:spacing w:beforeLines="1" w:afterLines="1" w:line="240" w:lineRule="auto"/>
      <w:jc w:val="left"/>
      <w:textAlignment w:val="top"/>
    </w:pPr>
    <w:rPr>
      <w:rFonts w:ascii="Times New Roman" w:hAnsi="Times New Roman"/>
      <w:sz w:val="24"/>
      <w:szCs w:val="24"/>
    </w:rPr>
  </w:style>
  <w:style w:type="paragraph" w:customStyle="1" w:styleId="Policy">
    <w:name w:val="Policy"/>
    <w:basedOn w:val="Normal"/>
    <w:qFormat/>
    <w:rsid w:val="0052202B"/>
    <w:pPr>
      <w:tabs>
        <w:tab w:val="left" w:pos="720"/>
      </w:tabs>
      <w:spacing w:after="240" w:line="240" w:lineRule="auto"/>
      <w:ind w:left="720"/>
    </w:pPr>
    <w:rPr>
      <w:bCs/>
      <w:szCs w:val="24"/>
    </w:rPr>
  </w:style>
  <w:style w:type="paragraph" w:customStyle="1" w:styleId="Action">
    <w:name w:val="Action"/>
    <w:qFormat/>
    <w:rsid w:val="0052202B"/>
    <w:pPr>
      <w:spacing w:after="200"/>
      <w:ind w:left="1166"/>
    </w:pPr>
    <w:rPr>
      <w:bCs/>
      <w:i/>
      <w:sz w:val="22"/>
    </w:rPr>
  </w:style>
  <w:style w:type="paragraph" w:customStyle="1" w:styleId="Level1">
    <w:name w:val="Level 1"/>
    <w:rsid w:val="009C64C2"/>
    <w:pPr>
      <w:autoSpaceDE w:val="0"/>
      <w:autoSpaceDN w:val="0"/>
      <w:adjustRightInd w:val="0"/>
      <w:ind w:left="720"/>
    </w:pPr>
    <w:rPr>
      <w:rFonts w:ascii="Letter Gothic 12cpi" w:hAnsi="Letter Gothic 12cpi"/>
    </w:rPr>
  </w:style>
  <w:style w:type="character" w:customStyle="1" w:styleId="TableTextChar">
    <w:name w:val="Table Text Char"/>
    <w:link w:val="TableText"/>
    <w:rsid w:val="009C64C2"/>
    <w:rPr>
      <w:rFonts w:ascii="Cambria" w:hAnsi="Cambria"/>
      <w:sz w:val="18"/>
      <w:szCs w:val="18"/>
    </w:rPr>
  </w:style>
  <w:style w:type="paragraph" w:customStyle="1" w:styleId="TableTextCentered">
    <w:name w:val="Table Text Centered"/>
    <w:basedOn w:val="TableText"/>
    <w:rsid w:val="009C64C2"/>
    <w:pPr>
      <w:spacing w:before="60" w:after="60"/>
      <w:jc w:val="center"/>
    </w:pPr>
    <w:rPr>
      <w:rFonts w:ascii="Arial" w:hAnsi="Arial"/>
      <w:snapToGrid w:val="0"/>
      <w:color w:val="000000"/>
      <w:szCs w:val="20"/>
    </w:rPr>
  </w:style>
  <w:style w:type="character" w:customStyle="1" w:styleId="MediumGrid2Char">
    <w:name w:val="Medium Grid 2 Char"/>
    <w:link w:val="MediumGrid21"/>
    <w:uiPriority w:val="1"/>
    <w:rsid w:val="009C64C2"/>
    <w:rPr>
      <w:sz w:val="22"/>
      <w:szCs w:val="22"/>
      <w:lang w:val="en-US" w:eastAsia="en-US" w:bidi="ar-SA"/>
    </w:rPr>
  </w:style>
  <w:style w:type="character" w:customStyle="1" w:styleId="BookTitle1">
    <w:name w:val="Book Title1"/>
    <w:uiPriority w:val="33"/>
    <w:rsid w:val="009C64C2"/>
    <w:rPr>
      <w:rFonts w:ascii="Cambria" w:eastAsia="Times New Roman" w:hAnsi="Cambria" w:cs="Times New Roman"/>
      <w:i/>
      <w:iCs/>
      <w:sz w:val="20"/>
      <w:szCs w:val="20"/>
    </w:rPr>
  </w:style>
  <w:style w:type="paragraph" w:customStyle="1" w:styleId="LightShading-Accent21">
    <w:name w:val="Light Shading - Accent 21"/>
    <w:basedOn w:val="Normal"/>
    <w:next w:val="Normal"/>
    <w:link w:val="LightShading-Accent2Char"/>
    <w:uiPriority w:val="30"/>
    <w:rsid w:val="009C64C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LightShading-Accent2Char">
    <w:name w:val="Light Shading - Accent 2 Char"/>
    <w:link w:val="LightShading-Accent21"/>
    <w:uiPriority w:val="30"/>
    <w:rsid w:val="009C64C2"/>
    <w:rPr>
      <w:rFonts w:ascii="Cambria" w:hAnsi="Cambria"/>
      <w:smallCaps/>
      <w:color w:val="365F91"/>
      <w:sz w:val="22"/>
      <w:szCs w:val="22"/>
    </w:rPr>
  </w:style>
  <w:style w:type="paragraph" w:customStyle="1" w:styleId="TableCenter">
    <w:name w:val="Table Center"/>
    <w:basedOn w:val="Normal"/>
    <w:rsid w:val="009C64C2"/>
    <w:pPr>
      <w:autoSpaceDE w:val="0"/>
      <w:autoSpaceDN w:val="0"/>
      <w:adjustRightInd w:val="0"/>
      <w:spacing w:after="0" w:line="240" w:lineRule="auto"/>
      <w:jc w:val="left"/>
    </w:pPr>
    <w:rPr>
      <w:rFonts w:ascii="Arial" w:hAnsi="Arial" w:cs="Arial"/>
      <w:sz w:val="17"/>
      <w:szCs w:val="17"/>
    </w:rPr>
  </w:style>
  <w:style w:type="paragraph" w:customStyle="1" w:styleId="Default">
    <w:name w:val="Default"/>
    <w:rsid w:val="009C64C2"/>
    <w:pPr>
      <w:autoSpaceDE w:val="0"/>
      <w:autoSpaceDN w:val="0"/>
      <w:adjustRightInd w:val="0"/>
    </w:pPr>
    <w:rPr>
      <w:rFonts w:ascii="Times New Roman" w:eastAsia="Calibri" w:hAnsi="Times New Roman"/>
      <w:color w:val="000000"/>
    </w:rPr>
  </w:style>
  <w:style w:type="character" w:styleId="Strong">
    <w:name w:val="Strong"/>
    <w:uiPriority w:val="22"/>
    <w:qFormat/>
    <w:rsid w:val="009C64C2"/>
    <w:rPr>
      <w:b/>
      <w:bCs/>
    </w:rPr>
  </w:style>
  <w:style w:type="paragraph" w:customStyle="1" w:styleId="bodytext">
    <w:name w:val="bodytext"/>
    <w:basedOn w:val="Normal"/>
    <w:rsid w:val="009C64C2"/>
    <w:pPr>
      <w:spacing w:before="100" w:beforeAutospacing="1" w:after="100" w:afterAutospacing="1" w:line="240" w:lineRule="auto"/>
      <w:jc w:val="left"/>
    </w:pPr>
    <w:rPr>
      <w:rFonts w:ascii="Verdana" w:hAnsi="Verdana"/>
      <w:color w:val="000000"/>
      <w:sz w:val="21"/>
      <w:szCs w:val="21"/>
    </w:rPr>
  </w:style>
  <w:style w:type="paragraph" w:customStyle="1" w:styleId="TOCHeading2">
    <w:name w:val="TOC Heading2"/>
    <w:basedOn w:val="Heading1"/>
    <w:next w:val="Normal"/>
    <w:uiPriority w:val="39"/>
    <w:semiHidden/>
    <w:unhideWhenUsed/>
    <w:qFormat/>
    <w:rsid w:val="0033169F"/>
    <w:pPr>
      <w:outlineLvl w:val="9"/>
    </w:pPr>
  </w:style>
  <w:style w:type="character" w:customStyle="1" w:styleId="SubtleEmphasis3">
    <w:name w:val="Subtle Emphasis3"/>
    <w:uiPriority w:val="19"/>
    <w:qFormat/>
    <w:rsid w:val="0033169F"/>
    <w:rPr>
      <w:i/>
      <w:iCs/>
      <w:color w:val="808080"/>
    </w:rPr>
  </w:style>
  <w:style w:type="character" w:customStyle="1" w:styleId="BookTitle2">
    <w:name w:val="Book Title2"/>
    <w:uiPriority w:val="33"/>
    <w:rsid w:val="0033169F"/>
    <w:rPr>
      <w:rFonts w:ascii="Cambria" w:eastAsia="Times New Roman" w:hAnsi="Cambria" w:cs="Times New Roma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33169F"/>
    <w:pPr>
      <w:spacing w:after="200" w:line="264" w:lineRule="auto"/>
      <w:jc w:val="both"/>
    </w:pPr>
    <w:rPr>
      <w:sz w:val="22"/>
      <w:szCs w:val="22"/>
    </w:rPr>
  </w:style>
  <w:style w:type="paragraph" w:styleId="Heading1">
    <w:name w:val="heading 1"/>
    <w:basedOn w:val="Normal"/>
    <w:next w:val="Normal"/>
    <w:link w:val="Heading1Char"/>
    <w:uiPriority w:val="9"/>
    <w:qFormat/>
    <w:rsid w:val="003D29FC"/>
    <w:pPr>
      <w:spacing w:before="300" w:after="40"/>
      <w:jc w:val="left"/>
      <w:outlineLvl w:val="0"/>
    </w:pPr>
    <w:rPr>
      <w:rFonts w:ascii="Cambria" w:hAnsi="Cambria"/>
      <w:smallCaps/>
      <w:spacing w:val="5"/>
      <w:sz w:val="36"/>
      <w:szCs w:val="36"/>
    </w:rPr>
  </w:style>
  <w:style w:type="paragraph" w:styleId="Heading2">
    <w:name w:val="heading 2"/>
    <w:basedOn w:val="Normal"/>
    <w:next w:val="Normal"/>
    <w:link w:val="Heading2Char"/>
    <w:uiPriority w:val="9"/>
    <w:qFormat/>
    <w:rsid w:val="003D29FC"/>
    <w:pPr>
      <w:spacing w:before="240" w:after="80"/>
      <w:jc w:val="left"/>
      <w:outlineLvl w:val="1"/>
    </w:pPr>
    <w:rPr>
      <w:rFonts w:ascii="Cambria" w:hAnsi="Cambria"/>
      <w:smallCaps/>
      <w:spacing w:val="5"/>
      <w:sz w:val="32"/>
      <w:szCs w:val="32"/>
    </w:rPr>
  </w:style>
  <w:style w:type="paragraph" w:styleId="Heading3">
    <w:name w:val="heading 3"/>
    <w:basedOn w:val="Normal"/>
    <w:next w:val="Normal"/>
    <w:link w:val="Heading3Char"/>
    <w:uiPriority w:val="9"/>
    <w:qFormat/>
    <w:rsid w:val="003D29FC"/>
    <w:pPr>
      <w:pBdr>
        <w:bottom w:val="single" w:sz="4" w:space="1" w:color="auto"/>
      </w:pBdr>
      <w:spacing w:after="60"/>
      <w:jc w:val="left"/>
      <w:outlineLvl w:val="2"/>
    </w:pPr>
    <w:rPr>
      <w:rFonts w:ascii="Cambria" w:hAnsi="Cambria"/>
      <w:smallCaps/>
      <w:spacing w:val="20"/>
      <w:sz w:val="30"/>
      <w:szCs w:val="30"/>
    </w:rPr>
  </w:style>
  <w:style w:type="paragraph" w:styleId="Heading4">
    <w:name w:val="heading 4"/>
    <w:basedOn w:val="Normal"/>
    <w:next w:val="Normal"/>
    <w:link w:val="Heading4Char"/>
    <w:uiPriority w:val="9"/>
    <w:qFormat/>
    <w:rsid w:val="003D29FC"/>
    <w:pPr>
      <w:spacing w:before="240" w:after="60"/>
      <w:jc w:val="left"/>
      <w:outlineLvl w:val="3"/>
    </w:pPr>
    <w:rPr>
      <w:rFonts w:ascii="Cambria" w:hAnsi="Cambria"/>
      <w:b/>
      <w:sz w:val="26"/>
      <w:szCs w:val="26"/>
    </w:rPr>
  </w:style>
  <w:style w:type="paragraph" w:styleId="Heading5">
    <w:name w:val="heading 5"/>
    <w:basedOn w:val="Normal"/>
    <w:next w:val="Normal"/>
    <w:link w:val="Heading5Char"/>
    <w:uiPriority w:val="9"/>
    <w:qFormat/>
    <w:rsid w:val="003D29FC"/>
    <w:pPr>
      <w:outlineLvl w:val="4"/>
    </w:pPr>
    <w:rPr>
      <w:rFonts w:ascii="Cambria" w:hAnsi="Cambria"/>
      <w:smallCaps/>
      <w:sz w:val="24"/>
    </w:rPr>
  </w:style>
  <w:style w:type="paragraph" w:styleId="Heading6">
    <w:name w:val="heading 6"/>
    <w:basedOn w:val="Normal"/>
    <w:next w:val="Normal"/>
    <w:link w:val="Heading6Char"/>
    <w:uiPriority w:val="9"/>
    <w:qFormat/>
    <w:rsid w:val="003D29FC"/>
    <w:pPr>
      <w:spacing w:after="0"/>
      <w:jc w:val="left"/>
      <w:outlineLvl w:val="5"/>
    </w:pPr>
    <w:rPr>
      <w:rFonts w:ascii="Cambria" w:hAnsi="Cambria"/>
      <w:b/>
      <w:i/>
      <w:color w:val="000000"/>
      <w:spacing w:val="5"/>
    </w:rPr>
  </w:style>
  <w:style w:type="paragraph" w:styleId="Heading7">
    <w:name w:val="heading 7"/>
    <w:aliases w:val="Table Title,Table Heading"/>
    <w:basedOn w:val="Normal"/>
    <w:next w:val="Normal"/>
    <w:link w:val="Heading7Char"/>
    <w:qFormat/>
    <w:rsid w:val="003D29FC"/>
    <w:pPr>
      <w:spacing w:after="0"/>
      <w:jc w:val="left"/>
      <w:outlineLvl w:val="6"/>
    </w:pPr>
    <w:rPr>
      <w:b/>
      <w:i/>
      <w:smallCaps/>
      <w:color w:val="000000"/>
      <w:spacing w:val="2"/>
    </w:rPr>
  </w:style>
  <w:style w:type="paragraph" w:styleId="Heading8">
    <w:name w:val="heading 8"/>
    <w:aliases w:val="Heading 8 - Table Heading Row"/>
    <w:basedOn w:val="Heading5"/>
    <w:next w:val="Normal"/>
    <w:link w:val="Heading8Char"/>
    <w:uiPriority w:val="9"/>
    <w:qFormat/>
    <w:rsid w:val="003D29FC"/>
    <w:pPr>
      <w:spacing w:after="0"/>
      <w:jc w:val="left"/>
      <w:outlineLvl w:val="7"/>
    </w:pPr>
    <w:rPr>
      <w:sz w:val="20"/>
    </w:rPr>
  </w:style>
  <w:style w:type="paragraph" w:styleId="Heading9">
    <w:name w:val="heading 9"/>
    <w:basedOn w:val="Normal"/>
    <w:next w:val="Normal"/>
    <w:link w:val="Heading9Char"/>
    <w:uiPriority w:val="9"/>
    <w:qFormat/>
    <w:rsid w:val="003D29FC"/>
    <w:pPr>
      <w:spacing w:after="0"/>
      <w:jc w:val="left"/>
      <w:outlineLvl w:val="8"/>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089F"/>
    <w:rPr>
      <w:rFonts w:ascii="Cambria" w:hAnsi="Cambria"/>
      <w:smallCaps/>
      <w:spacing w:val="5"/>
      <w:sz w:val="36"/>
      <w:szCs w:val="36"/>
    </w:rPr>
  </w:style>
  <w:style w:type="character" w:customStyle="1" w:styleId="Heading2Char">
    <w:name w:val="Heading 2 Char"/>
    <w:link w:val="Heading2"/>
    <w:uiPriority w:val="9"/>
    <w:rsid w:val="000B089F"/>
    <w:rPr>
      <w:rFonts w:ascii="Cambria" w:hAnsi="Cambria"/>
      <w:smallCaps/>
      <w:spacing w:val="5"/>
      <w:sz w:val="32"/>
      <w:szCs w:val="32"/>
    </w:rPr>
  </w:style>
  <w:style w:type="character" w:customStyle="1" w:styleId="Heading3Char">
    <w:name w:val="Heading 3 Char"/>
    <w:link w:val="Heading3"/>
    <w:uiPriority w:val="9"/>
    <w:rsid w:val="003551DF"/>
    <w:rPr>
      <w:rFonts w:ascii="Cambria" w:hAnsi="Cambria"/>
      <w:smallCaps/>
      <w:spacing w:val="20"/>
      <w:sz w:val="30"/>
      <w:szCs w:val="30"/>
    </w:rPr>
  </w:style>
  <w:style w:type="character" w:customStyle="1" w:styleId="Heading4Char">
    <w:name w:val="Heading 4 Char"/>
    <w:link w:val="Heading4"/>
    <w:uiPriority w:val="9"/>
    <w:rsid w:val="003551DF"/>
    <w:rPr>
      <w:rFonts w:ascii="Cambria" w:hAnsi="Cambria"/>
      <w:b/>
      <w:sz w:val="26"/>
      <w:szCs w:val="26"/>
    </w:rPr>
  </w:style>
  <w:style w:type="character" w:customStyle="1" w:styleId="Heading5Char">
    <w:name w:val="Heading 5 Char"/>
    <w:link w:val="Heading5"/>
    <w:uiPriority w:val="9"/>
    <w:rsid w:val="00F52034"/>
    <w:rPr>
      <w:rFonts w:ascii="Cambria" w:hAnsi="Cambria"/>
      <w:smallCaps/>
      <w:sz w:val="24"/>
      <w:szCs w:val="22"/>
    </w:rPr>
  </w:style>
  <w:style w:type="character" w:customStyle="1" w:styleId="Heading6Char">
    <w:name w:val="Heading 6 Char"/>
    <w:link w:val="Heading6"/>
    <w:uiPriority w:val="9"/>
    <w:rsid w:val="00F52034"/>
    <w:rPr>
      <w:rFonts w:ascii="Cambria" w:hAnsi="Cambria"/>
      <w:b/>
      <w:i/>
      <w:color w:val="000000"/>
      <w:spacing w:val="5"/>
      <w:sz w:val="22"/>
      <w:szCs w:val="22"/>
    </w:rPr>
  </w:style>
  <w:style w:type="character" w:customStyle="1" w:styleId="Heading7Char">
    <w:name w:val="Heading 7 Char"/>
    <w:aliases w:val="Table Title Char,Table Heading Char"/>
    <w:link w:val="Heading7"/>
    <w:uiPriority w:val="9"/>
    <w:rsid w:val="00F52034"/>
    <w:rPr>
      <w:b/>
      <w:i/>
      <w:smallCaps/>
      <w:color w:val="000000"/>
      <w:spacing w:val="2"/>
      <w:sz w:val="22"/>
      <w:szCs w:val="22"/>
    </w:rPr>
  </w:style>
  <w:style w:type="character" w:customStyle="1" w:styleId="Heading8Char">
    <w:name w:val="Heading 8 Char"/>
    <w:aliases w:val="Heading 8 - Table Heading Row Char"/>
    <w:link w:val="Heading8"/>
    <w:uiPriority w:val="9"/>
    <w:rsid w:val="00156561"/>
    <w:rPr>
      <w:rFonts w:ascii="Cambria" w:hAnsi="Cambria"/>
      <w:smallCaps/>
      <w:szCs w:val="22"/>
    </w:rPr>
  </w:style>
  <w:style w:type="character" w:customStyle="1" w:styleId="Heading9Char">
    <w:name w:val="Heading 9 Char"/>
    <w:link w:val="Heading9"/>
    <w:uiPriority w:val="9"/>
    <w:rsid w:val="00156561"/>
    <w:rPr>
      <w:b/>
      <w:i/>
      <w:color w:val="7F7F7F"/>
      <w:sz w:val="22"/>
      <w:szCs w:val="22"/>
    </w:rPr>
  </w:style>
  <w:style w:type="paragraph" w:styleId="BalloonText">
    <w:name w:val="Balloon Text"/>
    <w:basedOn w:val="Normal"/>
    <w:link w:val="BalloonTextChar"/>
    <w:uiPriority w:val="99"/>
    <w:semiHidden/>
    <w:unhideWhenUsed/>
    <w:rsid w:val="003D29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9FC"/>
    <w:rPr>
      <w:rFonts w:ascii="Tahoma" w:hAnsi="Tahoma" w:cs="Tahoma"/>
      <w:sz w:val="16"/>
      <w:szCs w:val="16"/>
    </w:rPr>
  </w:style>
  <w:style w:type="paragraph" w:styleId="Footer">
    <w:name w:val="footer"/>
    <w:basedOn w:val="Normal"/>
    <w:link w:val="FooterChar"/>
    <w:uiPriority w:val="99"/>
    <w:unhideWhenUsed/>
    <w:rsid w:val="003D29FC"/>
    <w:pPr>
      <w:tabs>
        <w:tab w:val="center" w:pos="4680"/>
        <w:tab w:val="right" w:pos="9360"/>
      </w:tabs>
      <w:spacing w:after="0" w:line="240" w:lineRule="auto"/>
    </w:pPr>
  </w:style>
  <w:style w:type="character" w:customStyle="1" w:styleId="FooterChar">
    <w:name w:val="Footer Char"/>
    <w:link w:val="Footer"/>
    <w:uiPriority w:val="99"/>
    <w:rsid w:val="003D29FC"/>
    <w:rPr>
      <w:sz w:val="22"/>
      <w:szCs w:val="22"/>
    </w:rPr>
  </w:style>
  <w:style w:type="paragraph" w:styleId="Header">
    <w:name w:val="header"/>
    <w:aliases w:val="First Page"/>
    <w:basedOn w:val="Heading1"/>
    <w:link w:val="HeaderChar"/>
    <w:uiPriority w:val="99"/>
    <w:unhideWhenUsed/>
    <w:rsid w:val="004437D4"/>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4437D4"/>
    <w:rPr>
      <w:rFonts w:ascii="Cambria" w:hAnsi="Cambria"/>
      <w:smallCaps/>
      <w:spacing w:val="5"/>
      <w:sz w:val="36"/>
      <w:szCs w:val="36"/>
    </w:rPr>
  </w:style>
  <w:style w:type="character" w:styleId="Hyperlink">
    <w:name w:val="Hyperlink"/>
    <w:uiPriority w:val="99"/>
    <w:unhideWhenUsed/>
    <w:rsid w:val="003D29FC"/>
    <w:rPr>
      <w:color w:val="0000FF"/>
      <w:u w:val="single"/>
    </w:rPr>
  </w:style>
  <w:style w:type="paragraph" w:styleId="ListBullet">
    <w:name w:val="List Bullet"/>
    <w:basedOn w:val="Normal"/>
    <w:uiPriority w:val="99"/>
    <w:unhideWhenUsed/>
    <w:qFormat/>
    <w:rsid w:val="003D29FC"/>
    <w:pPr>
      <w:numPr>
        <w:numId w:val="1"/>
      </w:numPr>
      <w:contextualSpacing/>
    </w:pPr>
  </w:style>
  <w:style w:type="paragraph" w:styleId="ListBullet2">
    <w:name w:val="List Bullet 2"/>
    <w:basedOn w:val="Normal"/>
    <w:uiPriority w:val="99"/>
    <w:unhideWhenUsed/>
    <w:qFormat/>
    <w:rsid w:val="00D43ACA"/>
    <w:pPr>
      <w:numPr>
        <w:numId w:val="2"/>
      </w:numPr>
      <w:contextualSpacing/>
    </w:pPr>
  </w:style>
  <w:style w:type="paragraph" w:styleId="ListBullet3">
    <w:name w:val="List Bullet 3"/>
    <w:basedOn w:val="Normal"/>
    <w:uiPriority w:val="99"/>
    <w:unhideWhenUsed/>
    <w:qFormat/>
    <w:rsid w:val="003D29FC"/>
    <w:pPr>
      <w:tabs>
        <w:tab w:val="num" w:pos="1080"/>
      </w:tabs>
      <w:ind w:left="1080" w:hanging="360"/>
      <w:contextualSpacing/>
    </w:pPr>
  </w:style>
  <w:style w:type="paragraph" w:styleId="ListNumber">
    <w:name w:val="List Number"/>
    <w:basedOn w:val="Normal"/>
    <w:uiPriority w:val="99"/>
    <w:unhideWhenUsed/>
    <w:rsid w:val="003D29FC"/>
    <w:pPr>
      <w:tabs>
        <w:tab w:val="num" w:pos="360"/>
      </w:tabs>
      <w:ind w:left="360" w:hanging="360"/>
      <w:contextualSpacing/>
    </w:pPr>
  </w:style>
  <w:style w:type="paragraph" w:styleId="ListNumber2">
    <w:name w:val="List Number 2"/>
    <w:basedOn w:val="Normal"/>
    <w:uiPriority w:val="99"/>
    <w:unhideWhenUsed/>
    <w:rsid w:val="003D29FC"/>
    <w:pPr>
      <w:tabs>
        <w:tab w:val="num" w:pos="720"/>
      </w:tabs>
      <w:ind w:left="720" w:hanging="360"/>
      <w:contextualSpacing/>
    </w:pPr>
  </w:style>
  <w:style w:type="paragraph" w:styleId="ListNumber3">
    <w:name w:val="List Number 3"/>
    <w:basedOn w:val="Normal"/>
    <w:uiPriority w:val="99"/>
    <w:unhideWhenUsed/>
    <w:rsid w:val="003D29FC"/>
    <w:pPr>
      <w:tabs>
        <w:tab w:val="num" w:pos="1080"/>
      </w:tabs>
      <w:ind w:left="1080" w:hanging="360"/>
      <w:contextualSpacing/>
    </w:pPr>
  </w:style>
  <w:style w:type="paragraph" w:customStyle="1" w:styleId="ColorfulList-Accent11">
    <w:name w:val="Colorful List - Accent 11"/>
    <w:basedOn w:val="Normal"/>
    <w:uiPriority w:val="99"/>
    <w:qFormat/>
    <w:rsid w:val="003D29FC"/>
    <w:pPr>
      <w:ind w:left="1080" w:hanging="360"/>
      <w:contextualSpacing/>
    </w:pPr>
  </w:style>
  <w:style w:type="paragraph" w:styleId="NormalWeb">
    <w:name w:val="Normal (Web)"/>
    <w:basedOn w:val="Normal"/>
    <w:uiPriority w:val="99"/>
    <w:semiHidden/>
    <w:unhideWhenUsed/>
    <w:rsid w:val="003D29FC"/>
    <w:pPr>
      <w:spacing w:before="168" w:after="216" w:line="240" w:lineRule="auto"/>
      <w:jc w:val="left"/>
    </w:pPr>
    <w:rPr>
      <w:rFonts w:ascii="Times New Roman" w:hAnsi="Times New Roman"/>
      <w:sz w:val="24"/>
      <w:szCs w:val="24"/>
    </w:rPr>
  </w:style>
  <w:style w:type="paragraph" w:customStyle="1" w:styleId="ColorfulGrid-Accent11">
    <w:name w:val="Colorful Grid - Accent 11"/>
    <w:basedOn w:val="Normal"/>
    <w:next w:val="Normal"/>
    <w:link w:val="ColorfulGrid-Accent1Char1"/>
    <w:uiPriority w:val="29"/>
    <w:qFormat/>
    <w:rsid w:val="0033169F"/>
    <w:rPr>
      <w:i/>
    </w:rPr>
  </w:style>
  <w:style w:type="character" w:customStyle="1" w:styleId="ColorfulGrid-Accent1Char1">
    <w:name w:val="Colorful Grid - Accent 1 Char1"/>
    <w:link w:val="ColorfulGrid-Accent11"/>
    <w:uiPriority w:val="29"/>
    <w:rsid w:val="003D29FC"/>
    <w:rPr>
      <w:i/>
      <w:sz w:val="22"/>
      <w:szCs w:val="22"/>
    </w:rPr>
  </w:style>
  <w:style w:type="paragraph" w:customStyle="1" w:styleId="Source">
    <w:name w:val="Source"/>
    <w:next w:val="Normal"/>
    <w:qFormat/>
    <w:rsid w:val="003D29FC"/>
    <w:pPr>
      <w:spacing w:after="160" w:line="288" w:lineRule="auto"/>
      <w:ind w:left="90"/>
      <w:jc w:val="both"/>
    </w:pPr>
    <w:rPr>
      <w:i/>
      <w:iCs/>
      <w:smallCaps/>
      <w:lang w:bidi="en-US"/>
    </w:rPr>
  </w:style>
  <w:style w:type="table" w:styleId="TableGrid">
    <w:name w:val="Table Grid"/>
    <w:basedOn w:val="TableNormal"/>
    <w:uiPriority w:val="1"/>
    <w:rsid w:val="003D29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3D29FC"/>
    <w:pPr>
      <w:ind w:left="21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3D29FC"/>
  </w:style>
  <w:style w:type="paragraph" w:customStyle="1" w:styleId="TableText">
    <w:name w:val="Table Text"/>
    <w:basedOn w:val="Normal"/>
    <w:link w:val="TableTextChar"/>
    <w:rsid w:val="003D29FC"/>
    <w:pPr>
      <w:spacing w:before="120" w:after="120" w:line="240" w:lineRule="auto"/>
    </w:pPr>
    <w:rPr>
      <w:rFonts w:ascii="Cambria" w:hAnsi="Cambria"/>
      <w:sz w:val="18"/>
      <w:szCs w:val="18"/>
    </w:rPr>
  </w:style>
  <w:style w:type="paragraph" w:customStyle="1" w:styleId="TextBox">
    <w:name w:val="Text Box"/>
    <w:basedOn w:val="Normal"/>
    <w:rsid w:val="003D29FC"/>
    <w:pPr>
      <w:spacing w:after="0" w:line="240" w:lineRule="auto"/>
      <w:jc w:val="left"/>
    </w:pPr>
    <w:rPr>
      <w:rFonts w:ascii="Arial" w:hAnsi="Arial"/>
      <w:b/>
      <w:caps/>
      <w:spacing w:val="-3"/>
      <w:sz w:val="28"/>
    </w:rPr>
  </w:style>
  <w:style w:type="paragraph" w:customStyle="1" w:styleId="TOCHeading1">
    <w:name w:val="TOC Heading1"/>
    <w:basedOn w:val="Heading1"/>
    <w:next w:val="Normal"/>
    <w:uiPriority w:val="39"/>
    <w:unhideWhenUsed/>
    <w:qFormat/>
    <w:rsid w:val="0033169F"/>
    <w:pPr>
      <w:outlineLvl w:val="9"/>
    </w:pPr>
  </w:style>
  <w:style w:type="paragraph" w:customStyle="1" w:styleId="TOCHeading10">
    <w:name w:val="TOC Heading1"/>
    <w:basedOn w:val="Heading1"/>
    <w:next w:val="Normal"/>
    <w:uiPriority w:val="39"/>
    <w:unhideWhenUsed/>
    <w:qFormat/>
    <w:rsid w:val="003D29FC"/>
  </w:style>
  <w:style w:type="paragraph" w:customStyle="1" w:styleId="Header-EvenPage">
    <w:name w:val="Header - Even Page"/>
    <w:basedOn w:val="Header"/>
    <w:qFormat/>
    <w:rsid w:val="004437D4"/>
    <w:rPr>
      <w:sz w:val="32"/>
    </w:rPr>
  </w:style>
  <w:style w:type="paragraph" w:customStyle="1" w:styleId="MediumGrid21">
    <w:name w:val="Medium Grid 21"/>
    <w:link w:val="MediumGrid2Char"/>
    <w:uiPriority w:val="1"/>
    <w:qFormat/>
    <w:rsid w:val="00DE2F6A"/>
    <w:pPr>
      <w:jc w:val="both"/>
    </w:pPr>
    <w:rPr>
      <w:sz w:val="22"/>
      <w:szCs w:val="22"/>
    </w:rPr>
  </w:style>
  <w:style w:type="character" w:customStyle="1" w:styleId="Impact-MMChar">
    <w:name w:val="Impact-MM Char"/>
    <w:rsid w:val="00D43ACA"/>
    <w:rPr>
      <w:rFonts w:ascii="Century Gothic" w:hAnsi="Century Gothic"/>
      <w:bCs/>
      <w:szCs w:val="24"/>
      <w:lang w:val="en-US" w:eastAsia="en-US" w:bidi="ar-SA"/>
    </w:rPr>
  </w:style>
  <w:style w:type="paragraph" w:customStyle="1" w:styleId="ColorfulGrid-Accent110">
    <w:name w:val="Colorful Grid - Accent 11"/>
    <w:basedOn w:val="Normal"/>
    <w:next w:val="Normal"/>
    <w:link w:val="ColorfulGrid-Accent1Char"/>
    <w:uiPriority w:val="29"/>
    <w:qFormat/>
    <w:rsid w:val="00D43ACA"/>
    <w:pPr>
      <w:spacing w:after="160"/>
      <w:ind w:left="2160"/>
    </w:pPr>
    <w:rPr>
      <w:i/>
      <w:iCs/>
      <w:color w:val="0F243E"/>
      <w:szCs w:val="20"/>
      <w:lang w:bidi="en-US"/>
    </w:rPr>
  </w:style>
  <w:style w:type="character" w:customStyle="1" w:styleId="ColorfulGrid-Accent1Char">
    <w:name w:val="Colorful Grid - Accent 1 Char"/>
    <w:link w:val="ColorfulGrid-Accent110"/>
    <w:uiPriority w:val="29"/>
    <w:rsid w:val="00D43ACA"/>
    <w:rPr>
      <w:i/>
      <w:iCs/>
      <w:color w:val="0F243E"/>
      <w:sz w:val="22"/>
      <w:lang w:bidi="en-US"/>
    </w:rPr>
  </w:style>
  <w:style w:type="character" w:customStyle="1" w:styleId="SubtleEmphasis1">
    <w:name w:val="Subtle Emphasis1"/>
    <w:uiPriority w:val="19"/>
    <w:qFormat/>
    <w:rsid w:val="00D43ACA"/>
    <w:rPr>
      <w:smallCaps/>
      <w:dstrike w:val="0"/>
      <w:color w:val="5A5A5A"/>
      <w:vertAlign w:val="baseline"/>
    </w:rPr>
  </w:style>
  <w:style w:type="character" w:customStyle="1" w:styleId="SubtleEmphasis2">
    <w:name w:val="Subtle Emphasis2"/>
    <w:uiPriority w:val="19"/>
    <w:qFormat/>
    <w:rsid w:val="00D43ACA"/>
    <w:rPr>
      <w:i/>
      <w:iCs/>
      <w:color w:val="808080"/>
    </w:rPr>
  </w:style>
  <w:style w:type="character" w:styleId="Emphasis">
    <w:name w:val="Emphasis"/>
    <w:uiPriority w:val="20"/>
    <w:qFormat/>
    <w:rsid w:val="00D43ACA"/>
    <w:rPr>
      <w:i/>
      <w:iCs/>
    </w:rPr>
  </w:style>
  <w:style w:type="paragraph" w:styleId="Subtitle">
    <w:name w:val="Subtitle"/>
    <w:basedOn w:val="Normal"/>
    <w:next w:val="Normal"/>
    <w:link w:val="SubtitleChar"/>
    <w:uiPriority w:val="11"/>
    <w:qFormat/>
    <w:rsid w:val="00E270BF"/>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E270BF"/>
    <w:rPr>
      <w:rFonts w:ascii="Cambria" w:eastAsia="Times New Roman" w:hAnsi="Cambria" w:cs="Times New Roman"/>
      <w:i/>
      <w:iCs/>
      <w:color w:val="4F81BD"/>
      <w:spacing w:val="15"/>
      <w:sz w:val="24"/>
      <w:szCs w:val="24"/>
    </w:rPr>
  </w:style>
  <w:style w:type="character" w:styleId="CommentReference">
    <w:name w:val="annotation reference"/>
    <w:unhideWhenUsed/>
    <w:rsid w:val="00155EB8"/>
    <w:rPr>
      <w:sz w:val="16"/>
      <w:szCs w:val="16"/>
    </w:rPr>
  </w:style>
  <w:style w:type="paragraph" w:styleId="CommentText">
    <w:name w:val="annotation text"/>
    <w:basedOn w:val="Normal"/>
    <w:link w:val="CommentTextChar"/>
    <w:unhideWhenUsed/>
    <w:rsid w:val="00155EB8"/>
    <w:pPr>
      <w:spacing w:line="240" w:lineRule="auto"/>
    </w:pPr>
    <w:rPr>
      <w:sz w:val="20"/>
      <w:szCs w:val="20"/>
    </w:rPr>
  </w:style>
  <w:style w:type="character" w:customStyle="1" w:styleId="CommentTextChar">
    <w:name w:val="Comment Text Char"/>
    <w:basedOn w:val="DefaultParagraphFont"/>
    <w:link w:val="CommentText"/>
    <w:rsid w:val="00155EB8"/>
  </w:style>
  <w:style w:type="paragraph" w:styleId="CommentSubject">
    <w:name w:val="annotation subject"/>
    <w:basedOn w:val="CommentText"/>
    <w:next w:val="CommentText"/>
    <w:link w:val="CommentSubjectChar"/>
    <w:uiPriority w:val="99"/>
    <w:semiHidden/>
    <w:unhideWhenUsed/>
    <w:rsid w:val="00155EB8"/>
    <w:rPr>
      <w:b/>
      <w:bCs/>
    </w:rPr>
  </w:style>
  <w:style w:type="character" w:customStyle="1" w:styleId="CommentSubjectChar">
    <w:name w:val="Comment Subject Char"/>
    <w:link w:val="CommentSubject"/>
    <w:uiPriority w:val="99"/>
    <w:semiHidden/>
    <w:rsid w:val="00155EB8"/>
    <w:rPr>
      <w:b/>
      <w:bCs/>
    </w:rPr>
  </w:style>
  <w:style w:type="paragraph" w:customStyle="1" w:styleId="ColorfulShading-Accent11">
    <w:name w:val="Colorful Shading - Accent 11"/>
    <w:hidden/>
    <w:uiPriority w:val="99"/>
    <w:semiHidden/>
    <w:rsid w:val="00155EB8"/>
    <w:rPr>
      <w:sz w:val="22"/>
      <w:szCs w:val="22"/>
    </w:rPr>
  </w:style>
  <w:style w:type="character" w:styleId="FollowedHyperlink">
    <w:name w:val="FollowedHyperlink"/>
    <w:uiPriority w:val="99"/>
    <w:rsid w:val="0052202B"/>
    <w:rPr>
      <w:color w:val="993366"/>
      <w:u w:val="single"/>
    </w:rPr>
  </w:style>
  <w:style w:type="paragraph" w:customStyle="1" w:styleId="font5">
    <w:name w:val="font5"/>
    <w:basedOn w:val="Normal"/>
    <w:rsid w:val="0052202B"/>
    <w:pPr>
      <w:spacing w:beforeLines="1" w:afterLines="1" w:line="240" w:lineRule="auto"/>
      <w:jc w:val="left"/>
    </w:pPr>
    <w:rPr>
      <w:rFonts w:ascii="Verdana" w:hAnsi="Verdana"/>
      <w:sz w:val="16"/>
      <w:szCs w:val="16"/>
    </w:rPr>
  </w:style>
  <w:style w:type="paragraph" w:customStyle="1" w:styleId="xl24">
    <w:name w:val="xl24"/>
    <w:basedOn w:val="Normal"/>
    <w:rsid w:val="0052202B"/>
    <w:pPr>
      <w:pBdr>
        <w:top w:val="single" w:sz="8" w:space="0" w:color="000000"/>
        <w:bottom w:val="single" w:sz="8" w:space="0" w:color="000000"/>
        <w:right w:val="single" w:sz="8" w:space="0" w:color="000000"/>
      </w:pBdr>
      <w:spacing w:beforeLines="1" w:afterLines="1" w:line="240" w:lineRule="auto"/>
      <w:jc w:val="left"/>
      <w:textAlignment w:val="top"/>
    </w:pPr>
    <w:rPr>
      <w:rFonts w:ascii="Arial" w:hAnsi="Arial"/>
      <w:b/>
      <w:bCs/>
      <w:sz w:val="24"/>
      <w:szCs w:val="24"/>
    </w:rPr>
  </w:style>
  <w:style w:type="paragraph" w:customStyle="1" w:styleId="xl25">
    <w:name w:val="xl25"/>
    <w:basedOn w:val="Normal"/>
    <w:rsid w:val="0052202B"/>
    <w:pPr>
      <w:spacing w:beforeLines="1" w:afterLines="1" w:line="240" w:lineRule="auto"/>
      <w:jc w:val="left"/>
      <w:textAlignment w:val="top"/>
    </w:pPr>
    <w:rPr>
      <w:rFonts w:ascii="Times New Roman" w:hAnsi="Times New Roman"/>
      <w:sz w:val="24"/>
      <w:szCs w:val="24"/>
    </w:rPr>
  </w:style>
  <w:style w:type="paragraph" w:customStyle="1" w:styleId="Policy">
    <w:name w:val="Policy"/>
    <w:basedOn w:val="Normal"/>
    <w:qFormat/>
    <w:rsid w:val="0052202B"/>
    <w:pPr>
      <w:tabs>
        <w:tab w:val="left" w:pos="720"/>
      </w:tabs>
      <w:spacing w:after="240" w:line="240" w:lineRule="auto"/>
      <w:ind w:left="720"/>
    </w:pPr>
    <w:rPr>
      <w:bCs/>
      <w:szCs w:val="24"/>
    </w:rPr>
  </w:style>
  <w:style w:type="paragraph" w:customStyle="1" w:styleId="Action">
    <w:name w:val="Action"/>
    <w:qFormat/>
    <w:rsid w:val="0052202B"/>
    <w:pPr>
      <w:spacing w:after="200"/>
      <w:ind w:left="1166"/>
    </w:pPr>
    <w:rPr>
      <w:bCs/>
      <w:i/>
      <w:sz w:val="22"/>
    </w:rPr>
  </w:style>
  <w:style w:type="paragraph" w:customStyle="1" w:styleId="Level1">
    <w:name w:val="Level 1"/>
    <w:rsid w:val="009C64C2"/>
    <w:pPr>
      <w:autoSpaceDE w:val="0"/>
      <w:autoSpaceDN w:val="0"/>
      <w:adjustRightInd w:val="0"/>
      <w:ind w:left="720"/>
    </w:pPr>
    <w:rPr>
      <w:rFonts w:ascii="Letter Gothic 12cpi" w:hAnsi="Letter Gothic 12cpi"/>
    </w:rPr>
  </w:style>
  <w:style w:type="character" w:customStyle="1" w:styleId="TableTextChar">
    <w:name w:val="Table Text Char"/>
    <w:link w:val="TableText"/>
    <w:rsid w:val="009C64C2"/>
    <w:rPr>
      <w:rFonts w:ascii="Cambria" w:hAnsi="Cambria"/>
      <w:sz w:val="18"/>
      <w:szCs w:val="18"/>
    </w:rPr>
  </w:style>
  <w:style w:type="paragraph" w:customStyle="1" w:styleId="TableTextCentered">
    <w:name w:val="Table Text Centered"/>
    <w:basedOn w:val="TableText"/>
    <w:rsid w:val="009C64C2"/>
    <w:pPr>
      <w:spacing w:before="60" w:after="60"/>
      <w:jc w:val="center"/>
    </w:pPr>
    <w:rPr>
      <w:rFonts w:ascii="Arial" w:hAnsi="Arial"/>
      <w:snapToGrid w:val="0"/>
      <w:color w:val="000000"/>
      <w:szCs w:val="20"/>
    </w:rPr>
  </w:style>
  <w:style w:type="character" w:customStyle="1" w:styleId="MediumGrid2Char">
    <w:name w:val="Medium Grid 2 Char"/>
    <w:link w:val="MediumGrid21"/>
    <w:uiPriority w:val="1"/>
    <w:rsid w:val="009C64C2"/>
    <w:rPr>
      <w:sz w:val="22"/>
      <w:szCs w:val="22"/>
      <w:lang w:val="en-US" w:eastAsia="en-US" w:bidi="ar-SA"/>
    </w:rPr>
  </w:style>
  <w:style w:type="character" w:customStyle="1" w:styleId="BookTitle1">
    <w:name w:val="Book Title1"/>
    <w:uiPriority w:val="33"/>
    <w:rsid w:val="009C64C2"/>
    <w:rPr>
      <w:rFonts w:ascii="Cambria" w:eastAsia="Times New Roman" w:hAnsi="Cambria" w:cs="Times New Roman"/>
      <w:i/>
      <w:iCs/>
      <w:sz w:val="20"/>
      <w:szCs w:val="20"/>
    </w:rPr>
  </w:style>
  <w:style w:type="paragraph" w:customStyle="1" w:styleId="LightShading-Accent21">
    <w:name w:val="Light Shading - Accent 21"/>
    <w:basedOn w:val="Normal"/>
    <w:next w:val="Normal"/>
    <w:link w:val="LightShading-Accent2Char"/>
    <w:uiPriority w:val="30"/>
    <w:rsid w:val="009C64C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LightShading-Accent2Char">
    <w:name w:val="Light Shading - Accent 2 Char"/>
    <w:link w:val="LightShading-Accent21"/>
    <w:uiPriority w:val="30"/>
    <w:rsid w:val="009C64C2"/>
    <w:rPr>
      <w:rFonts w:ascii="Cambria" w:hAnsi="Cambria"/>
      <w:smallCaps/>
      <w:color w:val="365F91"/>
      <w:sz w:val="22"/>
      <w:szCs w:val="22"/>
    </w:rPr>
  </w:style>
  <w:style w:type="paragraph" w:customStyle="1" w:styleId="TableCenter">
    <w:name w:val="Table Center"/>
    <w:basedOn w:val="Normal"/>
    <w:rsid w:val="009C64C2"/>
    <w:pPr>
      <w:autoSpaceDE w:val="0"/>
      <w:autoSpaceDN w:val="0"/>
      <w:adjustRightInd w:val="0"/>
      <w:spacing w:after="0" w:line="240" w:lineRule="auto"/>
      <w:jc w:val="left"/>
    </w:pPr>
    <w:rPr>
      <w:rFonts w:ascii="Arial" w:hAnsi="Arial" w:cs="Arial"/>
      <w:sz w:val="17"/>
      <w:szCs w:val="17"/>
    </w:rPr>
  </w:style>
  <w:style w:type="paragraph" w:customStyle="1" w:styleId="Default">
    <w:name w:val="Default"/>
    <w:rsid w:val="009C64C2"/>
    <w:pPr>
      <w:autoSpaceDE w:val="0"/>
      <w:autoSpaceDN w:val="0"/>
      <w:adjustRightInd w:val="0"/>
    </w:pPr>
    <w:rPr>
      <w:rFonts w:ascii="Times New Roman" w:eastAsia="Calibri" w:hAnsi="Times New Roman"/>
      <w:color w:val="000000"/>
    </w:rPr>
  </w:style>
  <w:style w:type="character" w:styleId="Strong">
    <w:name w:val="Strong"/>
    <w:uiPriority w:val="22"/>
    <w:qFormat/>
    <w:rsid w:val="009C64C2"/>
    <w:rPr>
      <w:b/>
      <w:bCs/>
    </w:rPr>
  </w:style>
  <w:style w:type="paragraph" w:customStyle="1" w:styleId="bodytext">
    <w:name w:val="bodytext"/>
    <w:basedOn w:val="Normal"/>
    <w:rsid w:val="009C64C2"/>
    <w:pPr>
      <w:spacing w:before="100" w:beforeAutospacing="1" w:after="100" w:afterAutospacing="1" w:line="240" w:lineRule="auto"/>
      <w:jc w:val="left"/>
    </w:pPr>
    <w:rPr>
      <w:rFonts w:ascii="Verdana" w:hAnsi="Verdana"/>
      <w:color w:val="000000"/>
      <w:sz w:val="21"/>
      <w:szCs w:val="21"/>
    </w:rPr>
  </w:style>
  <w:style w:type="paragraph" w:customStyle="1" w:styleId="TOCHeading2">
    <w:name w:val="TOC Heading2"/>
    <w:basedOn w:val="Heading1"/>
    <w:next w:val="Normal"/>
    <w:uiPriority w:val="39"/>
    <w:semiHidden/>
    <w:unhideWhenUsed/>
    <w:qFormat/>
    <w:rsid w:val="0033169F"/>
    <w:pPr>
      <w:outlineLvl w:val="9"/>
    </w:pPr>
  </w:style>
  <w:style w:type="character" w:customStyle="1" w:styleId="SubtleEmphasis3">
    <w:name w:val="Subtle Emphasis3"/>
    <w:uiPriority w:val="19"/>
    <w:qFormat/>
    <w:rsid w:val="0033169F"/>
    <w:rPr>
      <w:i/>
      <w:iCs/>
      <w:color w:val="808080"/>
    </w:rPr>
  </w:style>
  <w:style w:type="character" w:customStyle="1" w:styleId="BookTitle2">
    <w:name w:val="Book Title2"/>
    <w:uiPriority w:val="33"/>
    <w:rsid w:val="0033169F"/>
    <w:rPr>
      <w:rFonts w:ascii="Cambria" w:eastAsia="Times New Roman" w:hAnsi="Cambria"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46060">
      <w:bodyDiv w:val="1"/>
      <w:marLeft w:val="0"/>
      <w:marRight w:val="0"/>
      <w:marTop w:val="0"/>
      <w:marBottom w:val="0"/>
      <w:divBdr>
        <w:top w:val="none" w:sz="0" w:space="0" w:color="auto"/>
        <w:left w:val="none" w:sz="0" w:space="0" w:color="auto"/>
        <w:bottom w:val="none" w:sz="0" w:space="0" w:color="auto"/>
        <w:right w:val="none" w:sz="0" w:space="0" w:color="auto"/>
      </w:divBdr>
    </w:div>
    <w:div w:id="231812485">
      <w:bodyDiv w:val="1"/>
      <w:marLeft w:val="0"/>
      <w:marRight w:val="0"/>
      <w:marTop w:val="0"/>
      <w:marBottom w:val="0"/>
      <w:divBdr>
        <w:top w:val="none" w:sz="0" w:space="0" w:color="auto"/>
        <w:left w:val="none" w:sz="0" w:space="0" w:color="auto"/>
        <w:bottom w:val="none" w:sz="0" w:space="0" w:color="auto"/>
        <w:right w:val="none" w:sz="0" w:space="0" w:color="auto"/>
      </w:divBdr>
    </w:div>
    <w:div w:id="580141172">
      <w:bodyDiv w:val="1"/>
      <w:marLeft w:val="0"/>
      <w:marRight w:val="0"/>
      <w:marTop w:val="0"/>
      <w:marBottom w:val="0"/>
      <w:divBdr>
        <w:top w:val="none" w:sz="0" w:space="0" w:color="auto"/>
        <w:left w:val="none" w:sz="0" w:space="0" w:color="auto"/>
        <w:bottom w:val="none" w:sz="0" w:space="0" w:color="auto"/>
        <w:right w:val="none" w:sz="0" w:space="0" w:color="auto"/>
      </w:divBdr>
      <w:divsChild>
        <w:div w:id="647898556">
          <w:marLeft w:val="0"/>
          <w:marRight w:val="0"/>
          <w:marTop w:val="0"/>
          <w:marBottom w:val="0"/>
          <w:divBdr>
            <w:top w:val="none" w:sz="0" w:space="0" w:color="auto"/>
            <w:left w:val="none" w:sz="0" w:space="0" w:color="auto"/>
            <w:bottom w:val="none" w:sz="0" w:space="0" w:color="auto"/>
            <w:right w:val="none" w:sz="0" w:space="0" w:color="auto"/>
          </w:divBdr>
        </w:div>
      </w:divsChild>
    </w:div>
    <w:div w:id="830414679">
      <w:bodyDiv w:val="1"/>
      <w:marLeft w:val="0"/>
      <w:marRight w:val="0"/>
      <w:marTop w:val="0"/>
      <w:marBottom w:val="0"/>
      <w:divBdr>
        <w:top w:val="none" w:sz="0" w:space="0" w:color="auto"/>
        <w:left w:val="none" w:sz="0" w:space="0" w:color="auto"/>
        <w:bottom w:val="none" w:sz="0" w:space="0" w:color="auto"/>
        <w:right w:val="none" w:sz="0" w:space="0" w:color="auto"/>
      </w:divBdr>
      <w:divsChild>
        <w:div w:id="946041058">
          <w:marLeft w:val="0"/>
          <w:marRight w:val="0"/>
          <w:marTop w:val="0"/>
          <w:marBottom w:val="0"/>
          <w:divBdr>
            <w:top w:val="none" w:sz="0" w:space="0" w:color="auto"/>
            <w:left w:val="none" w:sz="0" w:space="0" w:color="auto"/>
            <w:bottom w:val="none" w:sz="0" w:space="0" w:color="auto"/>
            <w:right w:val="none" w:sz="0" w:space="0" w:color="auto"/>
          </w:divBdr>
          <w:divsChild>
            <w:div w:id="3758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1413">
      <w:bodyDiv w:val="1"/>
      <w:marLeft w:val="0"/>
      <w:marRight w:val="0"/>
      <w:marTop w:val="0"/>
      <w:marBottom w:val="0"/>
      <w:divBdr>
        <w:top w:val="none" w:sz="0" w:space="0" w:color="auto"/>
        <w:left w:val="none" w:sz="0" w:space="0" w:color="auto"/>
        <w:bottom w:val="none" w:sz="0" w:space="0" w:color="auto"/>
        <w:right w:val="none" w:sz="0" w:space="0" w:color="auto"/>
      </w:divBdr>
    </w:div>
    <w:div w:id="948242120">
      <w:bodyDiv w:val="1"/>
      <w:marLeft w:val="0"/>
      <w:marRight w:val="0"/>
      <w:marTop w:val="0"/>
      <w:marBottom w:val="0"/>
      <w:divBdr>
        <w:top w:val="none" w:sz="0" w:space="0" w:color="auto"/>
        <w:left w:val="none" w:sz="0" w:space="0" w:color="auto"/>
        <w:bottom w:val="none" w:sz="0" w:space="0" w:color="auto"/>
        <w:right w:val="none" w:sz="0" w:space="0" w:color="auto"/>
      </w:divBdr>
    </w:div>
    <w:div w:id="1233665313">
      <w:bodyDiv w:val="1"/>
      <w:marLeft w:val="0"/>
      <w:marRight w:val="0"/>
      <w:marTop w:val="0"/>
      <w:marBottom w:val="0"/>
      <w:divBdr>
        <w:top w:val="none" w:sz="0" w:space="0" w:color="auto"/>
        <w:left w:val="none" w:sz="0" w:space="0" w:color="auto"/>
        <w:bottom w:val="none" w:sz="0" w:space="0" w:color="auto"/>
        <w:right w:val="none" w:sz="0" w:space="0" w:color="auto"/>
      </w:divBdr>
    </w:div>
    <w:div w:id="1321351429">
      <w:bodyDiv w:val="1"/>
      <w:marLeft w:val="0"/>
      <w:marRight w:val="0"/>
      <w:marTop w:val="0"/>
      <w:marBottom w:val="0"/>
      <w:divBdr>
        <w:top w:val="none" w:sz="0" w:space="0" w:color="auto"/>
        <w:left w:val="none" w:sz="0" w:space="0" w:color="auto"/>
        <w:bottom w:val="none" w:sz="0" w:space="0" w:color="auto"/>
        <w:right w:val="none" w:sz="0" w:space="0" w:color="auto"/>
      </w:divBdr>
    </w:div>
    <w:div w:id="1702436470">
      <w:bodyDiv w:val="1"/>
      <w:marLeft w:val="0"/>
      <w:marRight w:val="0"/>
      <w:marTop w:val="0"/>
      <w:marBottom w:val="0"/>
      <w:divBdr>
        <w:top w:val="none" w:sz="0" w:space="0" w:color="auto"/>
        <w:left w:val="none" w:sz="0" w:space="0" w:color="auto"/>
        <w:bottom w:val="none" w:sz="0" w:space="0" w:color="auto"/>
        <w:right w:val="none" w:sz="0" w:space="0" w:color="auto"/>
      </w:divBdr>
    </w:div>
    <w:div w:id="1719819812">
      <w:bodyDiv w:val="1"/>
      <w:marLeft w:val="0"/>
      <w:marRight w:val="0"/>
      <w:marTop w:val="0"/>
      <w:marBottom w:val="0"/>
      <w:divBdr>
        <w:top w:val="none" w:sz="0" w:space="0" w:color="auto"/>
        <w:left w:val="none" w:sz="0" w:space="0" w:color="auto"/>
        <w:bottom w:val="none" w:sz="0" w:space="0" w:color="auto"/>
        <w:right w:val="none" w:sz="0" w:space="0" w:color="auto"/>
      </w:divBdr>
    </w:div>
    <w:div w:id="1992637170">
      <w:bodyDiv w:val="1"/>
      <w:marLeft w:val="0"/>
      <w:marRight w:val="0"/>
      <w:marTop w:val="0"/>
      <w:marBottom w:val="0"/>
      <w:divBdr>
        <w:top w:val="none" w:sz="0" w:space="0" w:color="auto"/>
        <w:left w:val="none" w:sz="0" w:space="0" w:color="auto"/>
        <w:bottom w:val="none" w:sz="0" w:space="0" w:color="auto"/>
        <w:right w:val="none" w:sz="0" w:space="0" w:color="auto"/>
      </w:divBdr>
      <w:divsChild>
        <w:div w:id="1504709145">
          <w:marLeft w:val="0"/>
          <w:marRight w:val="0"/>
          <w:marTop w:val="0"/>
          <w:marBottom w:val="0"/>
          <w:divBdr>
            <w:top w:val="none" w:sz="0" w:space="0" w:color="auto"/>
            <w:left w:val="none" w:sz="0" w:space="0" w:color="auto"/>
            <w:bottom w:val="none" w:sz="0" w:space="0" w:color="auto"/>
            <w:right w:val="none" w:sz="0" w:space="0" w:color="auto"/>
          </w:divBdr>
        </w:div>
      </w:divsChild>
    </w:div>
    <w:div w:id="2130389046">
      <w:bodyDiv w:val="1"/>
      <w:marLeft w:val="0"/>
      <w:marRight w:val="0"/>
      <w:marTop w:val="0"/>
      <w:marBottom w:val="0"/>
      <w:divBdr>
        <w:top w:val="none" w:sz="0" w:space="0" w:color="auto"/>
        <w:left w:val="none" w:sz="0" w:space="0" w:color="auto"/>
        <w:bottom w:val="none" w:sz="0" w:space="0" w:color="auto"/>
        <w:right w:val="none" w:sz="0" w:space="0" w:color="auto"/>
      </w:divBdr>
      <w:divsChild>
        <w:div w:id="1931353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6764C935</Template>
  <TotalTime>0</TotalTime>
  <Pages>16</Pages>
  <Words>6005</Words>
  <Characters>34232</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Cultural Resources</vt:lpstr>
    </vt:vector>
  </TitlesOfParts>
  <Company>Pacific Portraits by Amber</Company>
  <LinksUpToDate>false</LinksUpToDate>
  <CharactersWithSpaces>40157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Resources</dc:title>
  <dc:creator>Benjamin Ritchie</dc:creator>
  <cp:lastModifiedBy>Vicki Parker</cp:lastModifiedBy>
  <cp:revision>2</cp:revision>
  <cp:lastPrinted>2009-03-20T15:36:00Z</cp:lastPrinted>
  <dcterms:created xsi:type="dcterms:W3CDTF">2015-08-07T22:13:00Z</dcterms:created>
  <dcterms:modified xsi:type="dcterms:W3CDTF">2015-08-07T22:13:00Z</dcterms:modified>
</cp:coreProperties>
</file>